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18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《和布克赛尔县抗旱应急机电井管理暂行制度》的政策解读</w:t>
      </w:r>
    </w:p>
    <w:p w14:paraId="3BEF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5F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一、制定背景与目的</w:t>
      </w:r>
    </w:p>
    <w:p w14:paraId="593E8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管理和合理利用抗旱应急机电井，充分发挥抗旱应急机电井作用，减少干旱灾害造成的损失，促进经济社会协调发展，和布克赛尔蒙古自治县人民政府根据《中华人民共和国水法》《地下水保护利用管理办法》及有关法律法规，结合县域实际情况，制定了《和布克赛尔县抗旱应急机电井管理暂行制度》。</w:t>
      </w:r>
    </w:p>
    <w:p w14:paraId="27BD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 w14:paraId="43ABB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1.制度性质与适用范围：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该制度为暂行制度，适用于和布克赛尔县行政区域内的抗旱应急机电井的使用管理。</w:t>
      </w:r>
    </w:p>
    <w:p w14:paraId="0FF1D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 抗旱工作原则：</w:t>
      </w:r>
      <w:r>
        <w:rPr>
          <w:rFonts w:hint="eastAsia" w:ascii="仿宋_GB2312" w:hAnsi="仿宋_GB2312" w:eastAsia="仿宋_GB2312" w:cs="仿宋_GB2312"/>
          <w:sz w:val="32"/>
          <w:szCs w:val="32"/>
        </w:rPr>
        <w:t>抗旱工作实行预防为主，以人为本，尊重科学，讲求效益，局部利益服从全局利益的原则。</w:t>
      </w:r>
    </w:p>
    <w:p w14:paraId="63123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3.机电井产权归属：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全县抗旱应急机电井属国有资产，任何单位和个人不得私自占有和使用。</w:t>
      </w:r>
    </w:p>
    <w:p w14:paraId="71557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4.机电井启用程序：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出现旱情并启动抗旱应急响应需要使用抗旱应急机电井时，由乡镇（场）人民政府（管委会）向县水利局申请开启，由县水利局根据实际情况和旱情报县人民政府研究同意后启用。抗旱应急机电井使用结束后，应当立即停止取水，经县水利局检查后按要求封存。抗旱应急机电井管理由县水资源中心负责日常监督管理。</w:t>
      </w:r>
    </w:p>
    <w:p w14:paraId="34DD9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5.水价确定：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抗旱应急机电井供水水价由和布克赛尔县发改委、水利局等部门按照有关规定确定。</w:t>
      </w:r>
    </w:p>
    <w:p w14:paraId="1BA05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6.术指导与环境监测：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县水利局要对全县抗旱应急机电井进行技术指导服务，同时做好抗旱应急机电井地下水位周边环境监测评估工作。</w:t>
      </w:r>
    </w:p>
    <w:p w14:paraId="574BD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7.用水规范与法律责任：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抗旱应急机电井用水时，不得损害公共利益和他人的合法权益，严禁偷水、抢水、侵占和破坏抗旱应急机电井。侵占、破坏、污染抗旱应急机电井的，由水行政主管部门依照有关法律法规的规定依法处理。任何单位和个人不得擅自将抗旱应急机电井转为常态化取水机电井。私自侵占、使用、破坏应急抗旱机电井的任何单位和个人，由县级以上水行政主管部门依照有关法律法规的规定给予行政处罚，触犯法律的，移交司法机关依法追究法律责任。</w:t>
      </w:r>
    </w:p>
    <w:p w14:paraId="2F95D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三、实施与监督</w:t>
      </w:r>
    </w:p>
    <w:p w14:paraId="24E70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度自2025年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起执行，由和布克赛尔蒙古自治县人民政府负责解释。县水利局等相关部门将加强对抗旱应急机电井管理的监督检查，确保制度得到有效执行。同时，将加强对违法行为的查处力度，维护正常的水事秩序。</w:t>
      </w:r>
    </w:p>
    <w:p w14:paraId="3A63C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四、意义与影响</w:t>
      </w:r>
    </w:p>
    <w:p w14:paraId="0564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该制度的制定和实施，对于加强和布克赛尔县抗旱应急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机电井的管理和利用，提高抗旱减灾能力，保障人民群众生命财产安全具有重要意义。同时，该制度也有助于促进县域经济社会的可持续发展，推动生态文明建设。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6DE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32CA3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32CA3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2025-02-28T05:32:35Z</dcterms:created>
  <dc:creator>Administrator</dc:creator>
  <cp:lastModifiedBy>WPS_590003232</cp:lastModifiedBy>
  <dcterms:modified xsi:type="dcterms:W3CDTF">2025-02-28T05:36:23Z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eyJoZGlkIjoiMWQ0ODZmY2NiZTdjOTFjYzIyMGRkOWEzYzEyNzA5YWEiLCJ1c2VySWQiOiI1OTAwMDMyMzIifQ==</vt:lpwstr>
  </property>
  <property fmtid="{D5CDD505-2E9C-101B-9397-08002B2CF9AE}" pid="4" name="ICV">
    <vt:lpwstr>8FE99B9612274934B4FE1E5A6AB252F2_12</vt:lpwstr>
  </property>
</Properties>
</file>