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6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96"/>
        <w:gridCol w:w="617"/>
        <w:gridCol w:w="670"/>
        <w:gridCol w:w="2931"/>
        <w:gridCol w:w="1390"/>
        <w:gridCol w:w="1513"/>
        <w:gridCol w:w="1258"/>
        <w:gridCol w:w="1175"/>
        <w:gridCol w:w="670"/>
        <w:gridCol w:w="697"/>
        <w:gridCol w:w="684"/>
        <w:gridCol w:w="670"/>
        <w:gridCol w:w="618"/>
        <w:gridCol w:w="5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496" w:type="dxa"/>
            <w:vMerge w:val="restart"/>
            <w:tcBorders>
              <w:top w:val="outset" w:color="000000" w:sz="8" w:space="0"/>
              <w:left w:val="outset" w:color="000000" w:sz="8" w:space="0"/>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ascii="sans-serif" w:hAnsi="sans-serif" w:eastAsia="sans-serif" w:cs="sans-serif"/>
                <w:i w:val="0"/>
                <w:caps w:val="0"/>
                <w:color w:val="414141"/>
                <w:spacing w:val="0"/>
                <w:sz w:val="24"/>
                <w:szCs w:val="24"/>
                <w:bdr w:val="none" w:color="auto" w:sz="0" w:space="0"/>
              </w:rPr>
              <w:t>序号</w:t>
            </w:r>
          </w:p>
        </w:tc>
        <w:tc>
          <w:tcPr>
            <w:tcW w:w="1287" w:type="dxa"/>
            <w:gridSpan w:val="2"/>
            <w:tcBorders>
              <w:top w:val="outset" w:color="000000" w:sz="8" w:space="0"/>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公开事项</w:t>
            </w:r>
          </w:p>
        </w:tc>
        <w:tc>
          <w:tcPr>
            <w:tcW w:w="2931" w:type="dxa"/>
            <w:vMerge w:val="restart"/>
            <w:tcBorders>
              <w:top w:val="outset" w:color="000000" w:sz="8" w:space="0"/>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公开内容（要素）</w:t>
            </w:r>
          </w:p>
        </w:tc>
        <w:tc>
          <w:tcPr>
            <w:tcW w:w="1390" w:type="dxa"/>
            <w:vMerge w:val="restart"/>
            <w:tcBorders>
              <w:top w:val="outset" w:color="000000" w:sz="8" w:space="0"/>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公开依据</w:t>
            </w:r>
          </w:p>
        </w:tc>
        <w:tc>
          <w:tcPr>
            <w:tcW w:w="1513" w:type="dxa"/>
            <w:vMerge w:val="restart"/>
            <w:tcBorders>
              <w:top w:val="outset" w:color="000000" w:sz="8" w:space="0"/>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公开时限</w:t>
            </w:r>
          </w:p>
        </w:tc>
        <w:tc>
          <w:tcPr>
            <w:tcW w:w="1258" w:type="dxa"/>
            <w:vMerge w:val="restart"/>
            <w:tcBorders>
              <w:top w:val="outset" w:color="000000" w:sz="8" w:space="0"/>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公开主体</w:t>
            </w:r>
          </w:p>
        </w:tc>
        <w:tc>
          <w:tcPr>
            <w:tcW w:w="1175" w:type="dxa"/>
            <w:vMerge w:val="restart"/>
            <w:tcBorders>
              <w:top w:val="outset" w:color="000000" w:sz="8" w:space="0"/>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公开渠道和载体</w:t>
            </w:r>
          </w:p>
        </w:tc>
        <w:tc>
          <w:tcPr>
            <w:tcW w:w="1367" w:type="dxa"/>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公开对象</w:t>
            </w:r>
          </w:p>
        </w:tc>
        <w:tc>
          <w:tcPr>
            <w:tcW w:w="1354" w:type="dxa"/>
            <w:gridSpan w:val="2"/>
            <w:tcBorders>
              <w:top w:val="outset" w:color="000000" w:sz="8" w:space="0"/>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公开方式</w:t>
            </w:r>
          </w:p>
        </w:tc>
        <w:tc>
          <w:tcPr>
            <w:tcW w:w="1195" w:type="dxa"/>
            <w:gridSpan w:val="2"/>
            <w:tcBorders>
              <w:top w:val="outset" w:color="000000" w:sz="8" w:space="0"/>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公开层级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371" w:hRule="atLeast"/>
        </w:trPr>
        <w:tc>
          <w:tcPr>
            <w:tcW w:w="496" w:type="dxa"/>
            <w:vMerge w:val="continue"/>
            <w:tcBorders>
              <w:top w:val="outset" w:color="000000" w:sz="8" w:space="0"/>
              <w:left w:val="outset" w:color="000000" w:sz="8" w:space="0"/>
              <w:bottom w:val="outset" w:color="000000" w:sz="8" w:space="0"/>
              <w:right w:val="outset" w:color="000000" w:sz="8" w:space="0"/>
            </w:tcBorders>
            <w:shd w:val="clear"/>
            <w:vAlign w:val="center"/>
          </w:tcPr>
          <w:p>
            <w:pPr>
              <w:jc w:val="both"/>
              <w:rPr>
                <w:rFonts w:hint="default" w:ascii="Segoe UI" w:hAnsi="Segoe UI" w:eastAsia="Segoe UI" w:cs="Segoe UI"/>
                <w:i w:val="0"/>
                <w:caps w:val="0"/>
                <w:color w:val="000000"/>
                <w:spacing w:val="0"/>
                <w:sz w:val="19"/>
                <w:szCs w:val="19"/>
              </w:rPr>
            </w:pPr>
          </w:p>
        </w:tc>
        <w:tc>
          <w:tcPr>
            <w:tcW w:w="61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一级事项</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二级事项</w:t>
            </w:r>
          </w:p>
        </w:tc>
        <w:tc>
          <w:tcPr>
            <w:tcW w:w="2931" w:type="dxa"/>
            <w:vMerge w:val="continue"/>
            <w:tcBorders>
              <w:top w:val="outset" w:color="000000" w:sz="8" w:space="0"/>
              <w:left w:val="nil"/>
              <w:bottom w:val="outset" w:color="000000" w:sz="8" w:space="0"/>
              <w:right w:val="outset" w:color="000000" w:sz="8" w:space="0"/>
            </w:tcBorders>
            <w:shd w:val="clear"/>
            <w:vAlign w:val="center"/>
          </w:tcPr>
          <w:p>
            <w:pPr>
              <w:jc w:val="both"/>
              <w:rPr>
                <w:rFonts w:hint="default" w:ascii="Segoe UI" w:hAnsi="Segoe UI" w:eastAsia="Segoe UI" w:cs="Segoe UI"/>
                <w:i w:val="0"/>
                <w:caps w:val="0"/>
                <w:color w:val="000000"/>
                <w:spacing w:val="0"/>
                <w:sz w:val="19"/>
                <w:szCs w:val="19"/>
              </w:rPr>
            </w:pPr>
          </w:p>
        </w:tc>
        <w:tc>
          <w:tcPr>
            <w:tcW w:w="1390" w:type="dxa"/>
            <w:vMerge w:val="continue"/>
            <w:tcBorders>
              <w:top w:val="outset" w:color="000000" w:sz="8" w:space="0"/>
              <w:left w:val="nil"/>
              <w:bottom w:val="outset" w:color="000000" w:sz="8" w:space="0"/>
              <w:right w:val="outset" w:color="000000" w:sz="8" w:space="0"/>
            </w:tcBorders>
            <w:shd w:val="clear"/>
            <w:vAlign w:val="center"/>
          </w:tcPr>
          <w:p>
            <w:pPr>
              <w:jc w:val="both"/>
              <w:rPr>
                <w:rFonts w:hint="default" w:ascii="Segoe UI" w:hAnsi="Segoe UI" w:eastAsia="Segoe UI" w:cs="Segoe UI"/>
                <w:i w:val="0"/>
                <w:caps w:val="0"/>
                <w:color w:val="000000"/>
                <w:spacing w:val="0"/>
                <w:sz w:val="19"/>
                <w:szCs w:val="19"/>
              </w:rPr>
            </w:pPr>
          </w:p>
        </w:tc>
        <w:tc>
          <w:tcPr>
            <w:tcW w:w="1513" w:type="dxa"/>
            <w:vMerge w:val="continue"/>
            <w:tcBorders>
              <w:top w:val="outset" w:color="000000" w:sz="8" w:space="0"/>
              <w:left w:val="nil"/>
              <w:bottom w:val="outset" w:color="000000" w:sz="8" w:space="0"/>
              <w:right w:val="outset" w:color="000000" w:sz="8" w:space="0"/>
            </w:tcBorders>
            <w:shd w:val="clear"/>
            <w:vAlign w:val="center"/>
          </w:tcPr>
          <w:p>
            <w:pPr>
              <w:jc w:val="both"/>
              <w:rPr>
                <w:rFonts w:hint="default" w:ascii="Segoe UI" w:hAnsi="Segoe UI" w:eastAsia="Segoe UI" w:cs="Segoe UI"/>
                <w:i w:val="0"/>
                <w:caps w:val="0"/>
                <w:color w:val="000000"/>
                <w:spacing w:val="0"/>
                <w:sz w:val="19"/>
                <w:szCs w:val="19"/>
              </w:rPr>
            </w:pPr>
          </w:p>
        </w:tc>
        <w:tc>
          <w:tcPr>
            <w:tcW w:w="1258" w:type="dxa"/>
            <w:vMerge w:val="continue"/>
            <w:tcBorders>
              <w:top w:val="outset" w:color="000000" w:sz="8" w:space="0"/>
              <w:left w:val="nil"/>
              <w:bottom w:val="outset" w:color="000000" w:sz="8" w:space="0"/>
              <w:right w:val="outset" w:color="000000" w:sz="8" w:space="0"/>
            </w:tcBorders>
            <w:shd w:val="clear"/>
            <w:vAlign w:val="center"/>
          </w:tcPr>
          <w:p>
            <w:pPr>
              <w:jc w:val="both"/>
              <w:rPr>
                <w:rFonts w:hint="default" w:ascii="Segoe UI" w:hAnsi="Segoe UI" w:eastAsia="Segoe UI" w:cs="Segoe UI"/>
                <w:i w:val="0"/>
                <w:caps w:val="0"/>
                <w:color w:val="000000"/>
                <w:spacing w:val="0"/>
                <w:sz w:val="19"/>
                <w:szCs w:val="19"/>
              </w:rPr>
            </w:pPr>
          </w:p>
        </w:tc>
        <w:tc>
          <w:tcPr>
            <w:tcW w:w="1175" w:type="dxa"/>
            <w:vMerge w:val="continue"/>
            <w:tcBorders>
              <w:top w:val="outset" w:color="000000" w:sz="8" w:space="0"/>
              <w:left w:val="nil"/>
              <w:bottom w:val="outset" w:color="000000" w:sz="8" w:space="0"/>
              <w:right w:val="outset" w:color="000000" w:sz="8" w:space="0"/>
            </w:tcBorders>
            <w:shd w:val="clear"/>
            <w:vAlign w:val="center"/>
          </w:tcPr>
          <w:p>
            <w:pPr>
              <w:jc w:val="both"/>
              <w:rPr>
                <w:rFonts w:hint="default" w:ascii="Segoe UI" w:hAnsi="Segoe UI" w:eastAsia="Segoe UI" w:cs="Segoe UI"/>
                <w:i w:val="0"/>
                <w:caps w:val="0"/>
                <w:color w:val="000000"/>
                <w:spacing w:val="0"/>
                <w:sz w:val="19"/>
                <w:szCs w:val="19"/>
              </w:rPr>
            </w:pP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全社会</w:t>
            </w:r>
          </w:p>
        </w:tc>
        <w:tc>
          <w:tcPr>
            <w:tcW w:w="69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特定群众</w:t>
            </w:r>
          </w:p>
        </w:tc>
        <w:tc>
          <w:tcPr>
            <w:tcW w:w="684" w:type="dxa"/>
            <w:tcBorders>
              <w:top w:val="outset" w:color="000000" w:sz="8" w:space="0"/>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主动</w:t>
            </w:r>
          </w:p>
        </w:tc>
        <w:tc>
          <w:tcPr>
            <w:tcW w:w="670" w:type="dxa"/>
            <w:tcBorders>
              <w:top w:val="outset" w:color="000000" w:sz="8" w:space="0"/>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依申请公开</w:t>
            </w:r>
          </w:p>
        </w:tc>
        <w:tc>
          <w:tcPr>
            <w:tcW w:w="618" w:type="dxa"/>
            <w:tcBorders>
              <w:top w:val="outset" w:color="000000" w:sz="8" w:space="0"/>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州级县级</w:t>
            </w:r>
          </w:p>
        </w:tc>
        <w:tc>
          <w:tcPr>
            <w:tcW w:w="577" w:type="dxa"/>
            <w:tcBorders>
              <w:top w:val="outset" w:color="000000" w:sz="8" w:space="0"/>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乡、村级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832" w:hRule="atLeast"/>
        </w:trPr>
        <w:tc>
          <w:tcPr>
            <w:tcW w:w="496" w:type="dxa"/>
            <w:tcBorders>
              <w:top w:val="nil"/>
              <w:left w:val="outset" w:color="000000" w:sz="8" w:space="0"/>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sans-serif" w:hAnsi="sans-serif" w:eastAsia="sans-serif" w:cs="sans-serif"/>
                <w:i w:val="0"/>
                <w:caps w:val="0"/>
                <w:color w:val="000000"/>
                <w:spacing w:val="0"/>
                <w:sz w:val="24"/>
                <w:szCs w:val="24"/>
                <w:bdr w:val="none" w:color="auto" w:sz="0" w:space="0"/>
              </w:rPr>
              <w:t>1</w:t>
            </w:r>
          </w:p>
        </w:tc>
        <w:tc>
          <w:tcPr>
            <w:tcW w:w="617" w:type="dxa"/>
            <w:tcBorders>
              <w:top w:val="nil"/>
              <w:left w:val="nil"/>
              <w:bottom w:val="single" w:color="auto"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sans-serif" w:hAnsi="sans-serif" w:eastAsia="sans-serif" w:cs="sans-serif"/>
                <w:i w:val="0"/>
                <w:caps w:val="0"/>
                <w:color w:val="414141"/>
                <w:spacing w:val="0"/>
                <w:sz w:val="24"/>
                <w:szCs w:val="24"/>
                <w:bdr w:val="none" w:color="auto" w:sz="0" w:space="0"/>
              </w:rPr>
              <w:t>运输服务</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sans-serif" w:hAnsi="sans-serif" w:eastAsia="sans-serif" w:cs="sans-serif"/>
                <w:i w:val="0"/>
                <w:caps w:val="0"/>
                <w:color w:val="414141"/>
                <w:spacing w:val="0"/>
                <w:sz w:val="24"/>
                <w:szCs w:val="24"/>
                <w:bdr w:val="none" w:color="auto" w:sz="0" w:space="0"/>
              </w:rPr>
              <w:t>道路运输</w:t>
            </w:r>
          </w:p>
        </w:tc>
        <w:tc>
          <w:tcPr>
            <w:tcW w:w="2931"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ascii="Calibri" w:hAnsi="Calibri" w:eastAsia="Segoe UI" w:cs="Calibri"/>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1. 道路旅客运输信息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pPr>
            <w:r>
              <w:rPr>
                <w:rFonts w:hint="default" w:ascii="sans-serif" w:hAnsi="sans-serif" w:eastAsia="sans-serif" w:cs="sans-serif"/>
                <w:i w:val="0"/>
                <w:caps w:val="0"/>
                <w:color w:val="414141"/>
                <w:spacing w:val="0"/>
                <w:sz w:val="24"/>
                <w:szCs w:val="24"/>
                <w:bdr w:val="none" w:color="auto" w:sz="0" w:space="0"/>
              </w:rPr>
              <w:t>2. 道路运输监督检查结果信息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3.公路交通阻断信息 </w:t>
            </w:r>
          </w:p>
        </w:tc>
        <w:tc>
          <w:tcPr>
            <w:tcW w:w="139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《交通运输领域基层政务公开标准指引》（交办办〔2021〕75号）</w:t>
            </w:r>
          </w:p>
        </w:tc>
        <w:tc>
          <w:tcPr>
            <w:tcW w:w="1513"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自该信息形成或者变更之日起20个工作日内予以公开，法律法规另有规定的除外。</w:t>
            </w:r>
          </w:p>
        </w:tc>
        <w:tc>
          <w:tcPr>
            <w:tcW w:w="1258"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交通运输 主管部门</w:t>
            </w:r>
          </w:p>
        </w:tc>
        <w:tc>
          <w:tcPr>
            <w:tcW w:w="1175"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■企事业单位 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■纸质查阅点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Calibri" w:hAnsi="Calibri" w:eastAsia="Segoe UI" w:cs="Calibri"/>
                <w:i w:val="0"/>
                <w:caps w:val="0"/>
                <w:color w:val="000000"/>
                <w:spacing w:val="0"/>
                <w:sz w:val="24"/>
                <w:szCs w:val="24"/>
                <w:bdr w:val="none" w:color="auto" w:sz="0" w:space="0"/>
              </w:rPr>
              <w:t> </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69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tc>
        <w:tc>
          <w:tcPr>
            <w:tcW w:w="684"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tc>
        <w:tc>
          <w:tcPr>
            <w:tcW w:w="618"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57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Calibri" w:hAnsi="Calibri" w:eastAsia="Segoe UI" w:cs="Calibri"/>
                <w:i w:val="0"/>
                <w:caps w:val="0"/>
                <w:color w:val="000000"/>
                <w:spacing w:val="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017" w:hRule="atLeast"/>
        </w:trPr>
        <w:tc>
          <w:tcPr>
            <w:tcW w:w="496" w:type="dxa"/>
            <w:tcBorders>
              <w:top w:val="nil"/>
              <w:left w:val="outset" w:color="000000" w:sz="8" w:space="0"/>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000000"/>
                <w:spacing w:val="0"/>
                <w:sz w:val="24"/>
                <w:szCs w:val="24"/>
                <w:bdr w:val="none" w:color="auto" w:sz="0" w:space="0"/>
              </w:rPr>
              <w:t>2</w:t>
            </w:r>
          </w:p>
        </w:tc>
        <w:tc>
          <w:tcPr>
            <w:tcW w:w="617" w:type="dxa"/>
            <w:vMerge w:val="restart"/>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Calibri" w:hAnsi="Calibri" w:eastAsia="Segoe UI" w:cs="Calibri"/>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Calibri" w:hAnsi="Calibri" w:eastAsia="Segoe UI" w:cs="Calibri"/>
                <w:i w:val="0"/>
                <w:caps w:val="0"/>
                <w:color w:val="000000"/>
                <w:spacing w:val="0"/>
                <w:sz w:val="24"/>
                <w:szCs w:val="24"/>
                <w:bdr w:val="none" w:color="auto" w:sz="0" w:space="0"/>
              </w:rPr>
              <w:t> </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sans-serif" w:hAnsi="sans-serif" w:eastAsia="sans-serif" w:cs="sans-serif"/>
                <w:i w:val="0"/>
                <w:caps w:val="0"/>
                <w:color w:val="414141"/>
                <w:spacing w:val="0"/>
                <w:sz w:val="24"/>
                <w:szCs w:val="24"/>
                <w:bdr w:val="none" w:color="auto" w:sz="0" w:space="0"/>
              </w:rPr>
              <w:t>城乡旅客运输</w:t>
            </w:r>
          </w:p>
        </w:tc>
        <w:tc>
          <w:tcPr>
            <w:tcW w:w="2931"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1. 城市公共交通服务质量评价信息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pPr>
            <w:r>
              <w:rPr>
                <w:rFonts w:hint="default" w:ascii="sans-serif" w:hAnsi="sans-serif" w:eastAsia="sans-serif" w:cs="sans-serif"/>
                <w:i w:val="0"/>
                <w:caps w:val="0"/>
                <w:color w:val="414141"/>
                <w:spacing w:val="0"/>
                <w:sz w:val="24"/>
                <w:szCs w:val="24"/>
                <w:bdr w:val="none" w:color="auto" w:sz="0" w:space="0"/>
              </w:rPr>
              <w:t>2. 出租汽车服务质量信誉考核信息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3.城乡交通运输一体化信息</w:t>
            </w:r>
          </w:p>
        </w:tc>
        <w:tc>
          <w:tcPr>
            <w:tcW w:w="139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《交通运输领域基层政务公开标准指引》（交办办〔2021〕75号</w:t>
            </w:r>
          </w:p>
        </w:tc>
        <w:tc>
          <w:tcPr>
            <w:tcW w:w="1513"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00" w:lineRule="atLeast"/>
              <w:ind w:left="0" w:right="0"/>
              <w:jc w:val="both"/>
            </w:pPr>
            <w:r>
              <w:rPr>
                <w:rFonts w:hint="default" w:ascii="sans-serif" w:hAnsi="sans-serif" w:eastAsia="sans-serif" w:cs="sans-serif"/>
                <w:i w:val="0"/>
                <w:caps w:val="0"/>
                <w:color w:val="414141"/>
                <w:spacing w:val="0"/>
                <w:kern w:val="0"/>
                <w:sz w:val="24"/>
                <w:szCs w:val="24"/>
                <w:bdr w:val="none" w:color="auto" w:sz="0" w:space="0"/>
                <w:lang w:val="en-US" w:eastAsia="zh-CN" w:bidi="ar"/>
              </w:rPr>
              <w:t>自该信息形成或者变更之日起20个工作日内予以公开，法律法规另有规定的除外。</w:t>
            </w:r>
          </w:p>
        </w:tc>
        <w:tc>
          <w:tcPr>
            <w:tcW w:w="1258"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交通运输 主管部门</w:t>
            </w:r>
          </w:p>
        </w:tc>
        <w:tc>
          <w:tcPr>
            <w:tcW w:w="1175"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 ■纸质查阅点</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both"/>
            </w:pPr>
            <w:r>
              <w:rPr>
                <w:rFonts w:hint="default" w:ascii="sans-serif" w:hAnsi="sans-serif" w:eastAsia="sans-serif" w:cs="sans-serif"/>
                <w:i w:val="0"/>
                <w:caps w:val="0"/>
                <w:color w:val="414141"/>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69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tc>
        <w:tc>
          <w:tcPr>
            <w:tcW w:w="684"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tc>
        <w:tc>
          <w:tcPr>
            <w:tcW w:w="618"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57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Calibri" w:hAnsi="Calibri" w:eastAsia="Segoe UI" w:cs="Calibri"/>
                <w:i w:val="0"/>
                <w:caps w:val="0"/>
                <w:color w:val="000000"/>
                <w:spacing w:val="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864" w:hRule="atLeast"/>
        </w:trPr>
        <w:tc>
          <w:tcPr>
            <w:tcW w:w="496" w:type="dxa"/>
            <w:tcBorders>
              <w:top w:val="nil"/>
              <w:left w:val="outset" w:color="000000" w:sz="8" w:space="0"/>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000000"/>
                <w:spacing w:val="0"/>
                <w:sz w:val="24"/>
                <w:szCs w:val="24"/>
                <w:bdr w:val="none" w:color="auto" w:sz="0" w:space="0"/>
              </w:rPr>
              <w:t>3</w:t>
            </w:r>
          </w:p>
        </w:tc>
        <w:tc>
          <w:tcPr>
            <w:tcW w:w="617" w:type="dxa"/>
            <w:vMerge w:val="continue"/>
            <w:tcBorders>
              <w:top w:val="nil"/>
              <w:left w:val="nil"/>
              <w:bottom w:val="outset" w:color="000000" w:sz="8" w:space="0"/>
              <w:right w:val="outset" w:color="000000" w:sz="8" w:space="0"/>
            </w:tcBorders>
            <w:shd w:val="clear"/>
            <w:vAlign w:val="center"/>
          </w:tcPr>
          <w:p>
            <w:pPr>
              <w:jc w:val="both"/>
              <w:rPr>
                <w:rFonts w:hint="default" w:ascii="Segoe UI" w:hAnsi="Segoe UI" w:eastAsia="Segoe UI" w:cs="Segoe UI"/>
                <w:i w:val="0"/>
                <w:caps w:val="0"/>
                <w:color w:val="000000"/>
                <w:spacing w:val="0"/>
                <w:sz w:val="19"/>
                <w:szCs w:val="19"/>
              </w:rPr>
            </w:pPr>
          </w:p>
        </w:tc>
        <w:tc>
          <w:tcPr>
            <w:tcW w:w="670" w:type="dxa"/>
            <w:tcBorders>
              <w:top w:val="nil"/>
              <w:left w:val="nil"/>
              <w:bottom w:val="outset" w:color="000000" w:sz="8" w:space="0"/>
              <w:right w:val="out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center"/>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综合运输</w:t>
            </w:r>
          </w:p>
        </w:tc>
        <w:tc>
          <w:tcPr>
            <w:tcW w:w="2931" w:type="dxa"/>
            <w:tcBorders>
              <w:top w:val="nil"/>
              <w:left w:val="nil"/>
              <w:bottom w:val="outset" w:color="000000" w:sz="8" w:space="0"/>
              <w:right w:val="out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1. 综合交通运输管理服务信息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2.重要时段运输服务保障信息</w:t>
            </w:r>
          </w:p>
        </w:tc>
        <w:tc>
          <w:tcPr>
            <w:tcW w:w="1390" w:type="dxa"/>
            <w:tcBorders>
              <w:top w:val="nil"/>
              <w:left w:val="nil"/>
              <w:bottom w:val="outset" w:color="000000" w:sz="8" w:space="0"/>
              <w:right w:val="out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《交通运输领域基层政务公开标准指引》（交办办〔2021〕75号）</w:t>
            </w:r>
          </w:p>
        </w:tc>
        <w:tc>
          <w:tcPr>
            <w:tcW w:w="1513"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自该信息形成或者变更之日起20个工作日内予以公开，法律法规另有规定的除外。</w:t>
            </w:r>
          </w:p>
        </w:tc>
        <w:tc>
          <w:tcPr>
            <w:tcW w:w="1258"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交通运输 主管部门</w:t>
            </w:r>
          </w:p>
        </w:tc>
        <w:tc>
          <w:tcPr>
            <w:tcW w:w="1175"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■纸质查阅点</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240"/>
              <w:jc w:val="both"/>
            </w:pPr>
            <w:r>
              <w:rPr>
                <w:rFonts w:hint="default" w:ascii="sans-serif" w:hAnsi="sans-serif" w:eastAsia="sans-serif" w:cs="sans-serif"/>
                <w:i w:val="0"/>
                <w:caps w:val="0"/>
                <w:color w:val="414141"/>
                <w:spacing w:val="0"/>
                <w:sz w:val="24"/>
                <w:szCs w:val="24"/>
                <w:bdr w:val="none" w:color="auto" w:sz="0" w:space="0"/>
              </w:rPr>
              <w:t>√</w:t>
            </w:r>
          </w:p>
        </w:tc>
        <w:tc>
          <w:tcPr>
            <w:tcW w:w="69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tc>
        <w:tc>
          <w:tcPr>
            <w:tcW w:w="684"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tc>
        <w:tc>
          <w:tcPr>
            <w:tcW w:w="618"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州级</w:t>
            </w:r>
          </w:p>
        </w:tc>
        <w:tc>
          <w:tcPr>
            <w:tcW w:w="57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Calibri" w:hAnsi="Calibri" w:eastAsia="Segoe UI" w:cs="Calibri"/>
                <w:i w:val="0"/>
                <w:caps w:val="0"/>
                <w:color w:val="000000"/>
                <w:spacing w:val="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97" w:hRule="atLeast"/>
        </w:trPr>
        <w:tc>
          <w:tcPr>
            <w:tcW w:w="496" w:type="dxa"/>
            <w:tcBorders>
              <w:top w:val="nil"/>
              <w:left w:val="outset" w:color="000000" w:sz="8" w:space="0"/>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000000"/>
                <w:spacing w:val="0"/>
                <w:sz w:val="24"/>
                <w:szCs w:val="24"/>
                <w:bdr w:val="none" w:color="auto" w:sz="0" w:space="0"/>
              </w:rPr>
              <w:t>4</w:t>
            </w:r>
          </w:p>
        </w:tc>
        <w:tc>
          <w:tcPr>
            <w:tcW w:w="61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Segoe UI" w:hAnsi="Segoe UI" w:eastAsia="Segoe UI" w:cs="Segoe UI"/>
                <w:i w:val="0"/>
                <w:caps w:val="0"/>
                <w:color w:val="000000"/>
                <w:spacing w:val="0"/>
                <w:sz w:val="24"/>
                <w:szCs w:val="24"/>
                <w:bdr w:val="none" w:color="auto" w:sz="0" w:space="0"/>
              </w:rPr>
              <w:t>乡村振兴</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sans-serif" w:hAnsi="sans-serif" w:eastAsia="sans-serif" w:cs="sans-serif"/>
                <w:i w:val="0"/>
                <w:caps w:val="0"/>
                <w:color w:val="414141"/>
                <w:spacing w:val="0"/>
                <w:sz w:val="24"/>
                <w:szCs w:val="24"/>
                <w:bdr w:val="none" w:color="auto" w:sz="0" w:space="0"/>
              </w:rPr>
              <w:t>四好农村路</w:t>
            </w:r>
          </w:p>
        </w:tc>
        <w:tc>
          <w:tcPr>
            <w:tcW w:w="2931" w:type="dxa"/>
            <w:tcBorders>
              <w:top w:val="nil"/>
              <w:left w:val="nil"/>
              <w:bottom w:val="outset" w:color="000000" w:sz="8" w:space="0"/>
              <w:right w:val="out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1. 农村公路建设计划和建设信息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firstLine="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2. 农村公路补助政策信息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3.农村公路质量安全和养护管理信息</w:t>
            </w:r>
          </w:p>
        </w:tc>
        <w:tc>
          <w:tcPr>
            <w:tcW w:w="1390" w:type="dxa"/>
            <w:tcBorders>
              <w:top w:val="nil"/>
              <w:left w:val="nil"/>
              <w:bottom w:val="outset" w:color="000000" w:sz="8" w:space="0"/>
              <w:right w:val="out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《交通运输领域基层政务公开标准指引》（交办办〔2021〕75号）</w:t>
            </w:r>
          </w:p>
        </w:tc>
        <w:tc>
          <w:tcPr>
            <w:tcW w:w="1513"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自该信息形成或者变更之日起20个工作日内予以公开，法律法规另有规定的除外。</w:t>
            </w:r>
          </w:p>
        </w:tc>
        <w:tc>
          <w:tcPr>
            <w:tcW w:w="1258"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交通运输 主管部门</w:t>
            </w:r>
          </w:p>
        </w:tc>
        <w:tc>
          <w:tcPr>
            <w:tcW w:w="1175"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■纸质查阅点</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both"/>
            </w:pPr>
            <w:r>
              <w:rPr>
                <w:rFonts w:hint="default" w:ascii="sans-serif" w:hAnsi="sans-serif" w:eastAsia="sans-serif" w:cs="sans-serif"/>
                <w:i w:val="0"/>
                <w:caps w:val="0"/>
                <w:color w:val="414141"/>
                <w:spacing w:val="0"/>
                <w:sz w:val="24"/>
                <w:szCs w:val="24"/>
                <w:bdr w:val="none" w:color="auto" w:sz="0" w:space="0"/>
              </w:rPr>
              <w:t>  √</w:t>
            </w:r>
          </w:p>
        </w:tc>
        <w:tc>
          <w:tcPr>
            <w:tcW w:w="69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tc>
        <w:tc>
          <w:tcPr>
            <w:tcW w:w="684"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tc>
        <w:tc>
          <w:tcPr>
            <w:tcW w:w="618"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州级</w:t>
            </w:r>
          </w:p>
        </w:tc>
        <w:tc>
          <w:tcPr>
            <w:tcW w:w="57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036" w:hRule="atLeast"/>
        </w:trPr>
        <w:tc>
          <w:tcPr>
            <w:tcW w:w="496" w:type="dxa"/>
            <w:tcBorders>
              <w:top w:val="nil"/>
              <w:left w:val="outset" w:color="000000" w:sz="8" w:space="0"/>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240"/>
              <w:jc w:val="both"/>
            </w:pPr>
            <w:r>
              <w:rPr>
                <w:rFonts w:hint="default" w:ascii="Segoe UI" w:hAnsi="Segoe UI" w:eastAsia="Segoe UI" w:cs="Segoe UI"/>
                <w:i w:val="0"/>
                <w:caps w:val="0"/>
                <w:color w:val="000000"/>
                <w:spacing w:val="0"/>
                <w:sz w:val="24"/>
                <w:szCs w:val="24"/>
                <w:bdr w:val="none" w:color="auto" w:sz="0" w:space="0"/>
              </w:rPr>
              <w:t>5</w:t>
            </w:r>
          </w:p>
        </w:tc>
        <w:tc>
          <w:tcPr>
            <w:tcW w:w="617" w:type="dxa"/>
            <w:tcBorders>
              <w:top w:val="nil"/>
              <w:left w:val="nil"/>
              <w:bottom w:val="single" w:color="auto"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sans-serif" w:hAnsi="sans-serif" w:eastAsia="sans-serif" w:cs="sans-serif"/>
                <w:i w:val="0"/>
                <w:caps w:val="0"/>
                <w:color w:val="414141"/>
                <w:spacing w:val="0"/>
                <w:sz w:val="24"/>
                <w:szCs w:val="24"/>
                <w:bdr w:val="none" w:color="auto" w:sz="0" w:space="0"/>
              </w:rPr>
              <w:t>办事服务</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sans-serif" w:hAnsi="sans-serif" w:eastAsia="sans-serif" w:cs="sans-serif"/>
                <w:i w:val="0"/>
                <w:caps w:val="0"/>
                <w:color w:val="414141"/>
                <w:spacing w:val="0"/>
                <w:sz w:val="24"/>
                <w:szCs w:val="24"/>
                <w:bdr w:val="none" w:color="auto" w:sz="0" w:space="0"/>
              </w:rPr>
              <w:t>办事指南</w:t>
            </w:r>
          </w:p>
        </w:tc>
        <w:tc>
          <w:tcPr>
            <w:tcW w:w="2931" w:type="dxa"/>
            <w:tcBorders>
              <w:top w:val="nil"/>
              <w:left w:val="nil"/>
              <w:bottom w:val="outset" w:color="000000" w:sz="8" w:space="0"/>
              <w:right w:val="out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1. 行政权力清单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firstLine="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2. 以下事项办事指南：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县级权限范围内公路工程竣工验收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农村公路工程建设项目设计文件审批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道路客运企业成立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道路客运企业注销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道路旅客运输经营许可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道路客运企业分立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道路客运班线主体变更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道路货运企业成立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道路货运企业注销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县级权限范围内班线班次、车辆数量及要求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3.其他办事服务信息</w:t>
            </w:r>
          </w:p>
        </w:tc>
        <w:tc>
          <w:tcPr>
            <w:tcW w:w="139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egoe UI" w:hAnsi="Segoe UI" w:eastAsia="Segoe UI" w:cs="Segoe UI"/>
                <w:i w:val="0"/>
                <w:caps w:val="0"/>
                <w:color w:val="333333"/>
                <w:spacing w:val="0"/>
                <w:sz w:val="28"/>
                <w:szCs w:val="28"/>
                <w:bdr w:val="none" w:color="auto" w:sz="0" w:space="0"/>
              </w:rPr>
              <w:t>1</w:t>
            </w:r>
            <w:r>
              <w:rPr>
                <w:rFonts w:hint="default" w:ascii="sans-serif" w:hAnsi="sans-serif" w:eastAsia="sans-serif" w:cs="sans-serif"/>
                <w:i w:val="0"/>
                <w:caps w:val="0"/>
                <w:color w:val="414141"/>
                <w:spacing w:val="0"/>
                <w:sz w:val="24"/>
                <w:szCs w:val="24"/>
                <w:bdr w:val="none" w:color="auto" w:sz="0" w:space="0"/>
              </w:rPr>
              <w:t>.中华人民共和国政府信息公开条例（中华人民共和国国务院令第711号）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2.《国务院办公厅关于全面推进基层政务公开标准化规范化工作指导意见》（国办发〔2019〕54号）</w:t>
            </w:r>
          </w:p>
        </w:tc>
        <w:tc>
          <w:tcPr>
            <w:tcW w:w="1513"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自该信息形成或者变更之日起20个工作日内予以公开，法律法规另有规定的除外。</w:t>
            </w:r>
          </w:p>
        </w:tc>
        <w:tc>
          <w:tcPr>
            <w:tcW w:w="1258"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交通运输 主管部门</w:t>
            </w:r>
          </w:p>
        </w:tc>
        <w:tc>
          <w:tcPr>
            <w:tcW w:w="1175"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■纸质查阅点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■新疆政务服务网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Calibri" w:hAnsi="Calibri" w:eastAsia="Segoe UI" w:cs="Calibri"/>
                <w:i w:val="0"/>
                <w:caps w:val="0"/>
                <w:color w:val="000000"/>
                <w:spacing w:val="0"/>
                <w:sz w:val="24"/>
                <w:szCs w:val="24"/>
                <w:bdr w:val="none" w:color="auto" w:sz="0" w:space="0"/>
              </w:rPr>
              <w:t> </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69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tc>
        <w:tc>
          <w:tcPr>
            <w:tcW w:w="684"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tc>
        <w:tc>
          <w:tcPr>
            <w:tcW w:w="618"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57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Calibri" w:hAnsi="Calibri" w:eastAsia="Segoe UI" w:cs="Calibri"/>
                <w:i w:val="0"/>
                <w:caps w:val="0"/>
                <w:color w:val="000000"/>
                <w:spacing w:val="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39" w:hRule="atLeast"/>
        </w:trPr>
        <w:tc>
          <w:tcPr>
            <w:tcW w:w="496" w:type="dxa"/>
            <w:tcBorders>
              <w:top w:val="nil"/>
              <w:left w:val="outset" w:color="000000" w:sz="8" w:space="0"/>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sz w:val="24"/>
                <w:szCs w:val="24"/>
                <w:bdr w:val="none" w:color="auto" w:sz="0" w:space="0"/>
              </w:rPr>
              <w:t>6</w:t>
            </w:r>
          </w:p>
        </w:tc>
        <w:tc>
          <w:tcPr>
            <w:tcW w:w="617" w:type="dxa"/>
            <w:tcBorders>
              <w:top w:val="nil"/>
              <w:left w:val="nil"/>
              <w:bottom w:val="single" w:color="auto" w:sz="8" w:space="0"/>
              <w:right w:val="out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both"/>
            </w:pPr>
            <w:r>
              <w:rPr>
                <w:rFonts w:hint="default" w:ascii="sans-serif" w:hAnsi="sans-serif" w:eastAsia="sans-serif" w:cs="sans-serif"/>
                <w:i w:val="0"/>
                <w:caps w:val="0"/>
                <w:color w:val="414141"/>
                <w:spacing w:val="0"/>
                <w:kern w:val="0"/>
                <w:sz w:val="24"/>
                <w:szCs w:val="24"/>
                <w:bdr w:val="none" w:color="auto" w:sz="0" w:space="0"/>
                <w:lang w:val="en-US" w:eastAsia="zh-CN" w:bidi="ar"/>
              </w:rPr>
              <w:t> </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sans-serif" w:hAnsi="sans-serif" w:eastAsia="sans-serif" w:cs="sans-serif"/>
                <w:i w:val="0"/>
                <w:caps w:val="0"/>
                <w:color w:val="414141"/>
                <w:spacing w:val="0"/>
                <w:sz w:val="24"/>
                <w:szCs w:val="24"/>
                <w:bdr w:val="none" w:color="auto" w:sz="0" w:space="0"/>
              </w:rPr>
              <w:t>办事结果</w:t>
            </w:r>
          </w:p>
        </w:tc>
        <w:tc>
          <w:tcPr>
            <w:tcW w:w="2931" w:type="dxa"/>
            <w:tcBorders>
              <w:top w:val="nil"/>
              <w:left w:val="nil"/>
              <w:bottom w:val="outset" w:color="000000" w:sz="8" w:space="0"/>
              <w:right w:val="outset"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1.以下事项办办理结果：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县级权限范围内公路工程竣工验收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农村公路工程建设项目设计文件审批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道路客运企业成立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道路客运企业注销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道路旅客运输经营许可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道路客运企业分立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道路客运班线主体变更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道路货运企业成立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道路货运企业注销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县级权限范围内班线班次、车辆数量及要求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00" w:lineRule="atLeast"/>
              <w:ind w:left="0" w:right="0"/>
              <w:jc w:val="both"/>
              <w:textAlignment w:val="center"/>
            </w:pPr>
            <w:r>
              <w:rPr>
                <w:rFonts w:hint="default" w:ascii="sans-serif" w:hAnsi="sans-serif" w:eastAsia="sans-serif" w:cs="sans-serif"/>
                <w:i w:val="0"/>
                <w:caps w:val="0"/>
                <w:color w:val="414141"/>
                <w:spacing w:val="0"/>
                <w:kern w:val="0"/>
                <w:sz w:val="24"/>
                <w:szCs w:val="24"/>
                <w:bdr w:val="none" w:color="auto" w:sz="0" w:space="0"/>
                <w:lang w:val="en-US" w:eastAsia="zh-CN" w:bidi="ar"/>
              </w:rPr>
              <w:t>2.其他办理结果信息</w:t>
            </w:r>
          </w:p>
        </w:tc>
        <w:tc>
          <w:tcPr>
            <w:tcW w:w="139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egoe UI" w:hAnsi="Segoe UI" w:eastAsia="Segoe UI" w:cs="Segoe UI"/>
                <w:i w:val="0"/>
                <w:caps w:val="0"/>
                <w:color w:val="333333"/>
                <w:spacing w:val="0"/>
                <w:sz w:val="28"/>
                <w:szCs w:val="28"/>
                <w:bdr w:val="none" w:color="auto" w:sz="0" w:space="0"/>
              </w:rPr>
              <w:t>1</w:t>
            </w:r>
            <w:r>
              <w:rPr>
                <w:rFonts w:hint="default" w:ascii="sans-serif" w:hAnsi="sans-serif" w:eastAsia="sans-serif" w:cs="sans-serif"/>
                <w:i w:val="0"/>
                <w:caps w:val="0"/>
                <w:color w:val="414141"/>
                <w:spacing w:val="0"/>
                <w:sz w:val="24"/>
                <w:szCs w:val="24"/>
                <w:bdr w:val="none" w:color="auto" w:sz="0" w:space="0"/>
              </w:rPr>
              <w:t>.中华人民共和国政府信息公开条例（中华人民共和国国务院令第711号）</w:t>
            </w:r>
            <w:r>
              <w:rPr>
                <w:rFonts w:hint="default" w:ascii="sans-serif" w:hAnsi="sans-serif" w:eastAsia="sans-serif" w:cs="sans-serif"/>
                <w:i w:val="0"/>
                <w:caps w:val="0"/>
                <w:color w:val="414141"/>
                <w:spacing w:val="0"/>
                <w:sz w:val="24"/>
                <w:szCs w:val="24"/>
                <w:bdr w:val="none" w:color="auto" w:sz="0" w:space="0"/>
              </w:rPr>
              <w:br w:type="textWrapping"/>
            </w:r>
            <w:r>
              <w:rPr>
                <w:rFonts w:hint="default" w:ascii="sans-serif" w:hAnsi="sans-serif" w:eastAsia="sans-serif" w:cs="sans-serif"/>
                <w:i w:val="0"/>
                <w:caps w:val="0"/>
                <w:color w:val="414141"/>
                <w:spacing w:val="0"/>
                <w:sz w:val="24"/>
                <w:szCs w:val="24"/>
                <w:bdr w:val="none" w:color="auto" w:sz="0" w:space="0"/>
              </w:rPr>
              <w:t>2.《国务院办公厅关于全面推进基层政务公开标准化规范化工作指导意见》（国办发〔2019〕54号）</w:t>
            </w:r>
          </w:p>
        </w:tc>
        <w:tc>
          <w:tcPr>
            <w:tcW w:w="1513"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自该信息形成或者变更之日起20个工作日内予以公开，法律法规另有规定的除外。</w:t>
            </w:r>
          </w:p>
        </w:tc>
        <w:tc>
          <w:tcPr>
            <w:tcW w:w="1258"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交通运输 主管部门</w:t>
            </w:r>
          </w:p>
        </w:tc>
        <w:tc>
          <w:tcPr>
            <w:tcW w:w="1175"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■纸质查阅点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sans-serif" w:hAnsi="sans-serif" w:eastAsia="sans-serif" w:cs="sans-serif"/>
                <w:i w:val="0"/>
                <w:caps w:val="0"/>
                <w:color w:val="414141"/>
                <w:spacing w:val="0"/>
                <w:sz w:val="24"/>
                <w:szCs w:val="24"/>
                <w:bdr w:val="none" w:color="auto" w:sz="0" w:space="0"/>
              </w:rPr>
              <w:t>■信用中国（新疆·克州）</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697"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tc>
        <w:tc>
          <w:tcPr>
            <w:tcW w:w="684"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670"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 </w:t>
            </w:r>
          </w:p>
        </w:tc>
        <w:tc>
          <w:tcPr>
            <w:tcW w:w="618" w:type="dxa"/>
            <w:tcBorders>
              <w:top w:val="nil"/>
              <w:left w:val="nil"/>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ans-serif" w:hAnsi="sans-serif" w:eastAsia="sans-serif" w:cs="sans-serif"/>
                <w:i w:val="0"/>
                <w:caps w:val="0"/>
                <w:color w:val="414141"/>
                <w:spacing w:val="0"/>
                <w:sz w:val="24"/>
                <w:szCs w:val="24"/>
                <w:bdr w:val="none" w:color="auto" w:sz="0" w:space="0"/>
              </w:rPr>
              <w:t>√</w:t>
            </w:r>
          </w:p>
        </w:tc>
        <w:tc>
          <w:tcPr>
            <w:tcW w:w="577" w:type="dxa"/>
            <w:tcBorders>
              <w:top w:val="outset" w:color="auto" w:sz="6" w:space="0"/>
              <w:left w:val="nil"/>
              <w:bottom w:val="outset" w:color="auto" w:sz="6" w:space="0"/>
              <w:right w:val="outset" w:color="auto" w:sz="6" w:space="0"/>
            </w:tcBorders>
            <w:shd w:val="clear"/>
            <w:vAlign w:val="center"/>
          </w:tcPr>
          <w:p>
            <w:pPr>
              <w:jc w:val="both"/>
              <w:rPr>
                <w:rFonts w:hint="default" w:ascii="Segoe UI" w:hAnsi="Segoe UI" w:eastAsia="Segoe UI" w:cs="Segoe UI"/>
                <w:i w:val="0"/>
                <w:caps w:val="0"/>
                <w:color w:val="000000"/>
                <w:spacing w:val="0"/>
                <w:sz w:val="19"/>
                <w:szCs w:val="19"/>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5C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2025-02-19T05:25:36Z</dcterms:created>
  <dc:creator>Administrator</dc:creator>
  <cp:lastModifiedBy>Administrator</cp:lastModifiedBy>
  <dcterms:modified xsi:type="dcterms:W3CDTF">2025-02-19T05:26:28Z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