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63" w:type="dxa"/>
        <w:tblInd w:w="0" w:type="dxa"/>
        <w:shd w:val="clear"/>
        <w:tblLayout w:type="fixed"/>
        <w:tblCellMar>
          <w:top w:w="0" w:type="dxa"/>
          <w:left w:w="0" w:type="dxa"/>
          <w:bottom w:w="0" w:type="dxa"/>
          <w:right w:w="0" w:type="dxa"/>
        </w:tblCellMar>
      </w:tblPr>
      <w:tblGrid>
        <w:gridCol w:w="449"/>
        <w:gridCol w:w="886"/>
        <w:gridCol w:w="925"/>
        <w:gridCol w:w="1488"/>
        <w:gridCol w:w="2250"/>
        <w:gridCol w:w="1350"/>
        <w:gridCol w:w="873"/>
        <w:gridCol w:w="1868"/>
        <w:gridCol w:w="514"/>
        <w:gridCol w:w="556"/>
        <w:gridCol w:w="756"/>
        <w:gridCol w:w="716"/>
        <w:gridCol w:w="708"/>
        <w:gridCol w:w="624"/>
      </w:tblGrid>
      <w:tr>
        <w:tblPrEx>
          <w:shd w:val="clear"/>
          <w:tblLayout w:type="fixed"/>
          <w:tblCellMar>
            <w:top w:w="0" w:type="dxa"/>
            <w:left w:w="0" w:type="dxa"/>
            <w:bottom w:w="0" w:type="dxa"/>
            <w:right w:w="0" w:type="dxa"/>
          </w:tblCellMar>
        </w:tblPrEx>
        <w:trPr>
          <w:trHeight w:val="640" w:hRule="atLeast"/>
        </w:trPr>
        <w:tc>
          <w:tcPr>
            <w:tcW w:w="449"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ascii="Segoe UI" w:hAnsi="Segoe UI" w:eastAsia="Segoe UI" w:cs="Segoe UI"/>
                <w:i w:val="0"/>
                <w:caps w:val="0"/>
                <w:color w:val="000000"/>
                <w:spacing w:val="0"/>
                <w:kern w:val="0"/>
                <w:sz w:val="24"/>
                <w:szCs w:val="24"/>
                <w:bdr w:val="none" w:color="auto" w:sz="0" w:space="0"/>
                <w:lang w:val="en-US" w:eastAsia="zh-CN" w:bidi="ar"/>
              </w:rPr>
              <w:t>序号</w:t>
            </w:r>
          </w:p>
        </w:tc>
        <w:tc>
          <w:tcPr>
            <w:tcW w:w="1811"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ascii="sans-serif" w:hAnsi="sans-serif" w:eastAsia="sans-serif" w:cs="sans-serif"/>
                <w:i w:val="0"/>
                <w:caps w:val="0"/>
                <w:color w:val="414141"/>
                <w:spacing w:val="0"/>
                <w:kern w:val="0"/>
                <w:sz w:val="24"/>
                <w:szCs w:val="24"/>
                <w:bdr w:val="none" w:color="auto" w:sz="0" w:space="0"/>
                <w:lang w:val="en-US" w:eastAsia="zh-CN" w:bidi="ar"/>
              </w:rPr>
              <w:t>公开事项</w:t>
            </w:r>
          </w:p>
        </w:tc>
        <w:tc>
          <w:tcPr>
            <w:tcW w:w="1488" w:type="dxa"/>
            <w:vMerge w:val="restart"/>
            <w:tcBorders>
              <w:top w:val="single" w:color="000000" w:sz="8" w:space="0"/>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（要素）</w:t>
            </w:r>
          </w:p>
        </w:tc>
        <w:tc>
          <w:tcPr>
            <w:tcW w:w="2250" w:type="dxa"/>
            <w:vMerge w:val="restart"/>
            <w:tcBorders>
              <w:top w:val="single" w:color="000000" w:sz="8" w:space="0"/>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公开依据</w:t>
            </w:r>
          </w:p>
        </w:tc>
        <w:tc>
          <w:tcPr>
            <w:tcW w:w="1350" w:type="dxa"/>
            <w:vMerge w:val="restart"/>
            <w:tcBorders>
              <w:top w:val="single" w:color="000000" w:sz="8" w:space="0"/>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公开时限</w:t>
            </w:r>
          </w:p>
        </w:tc>
        <w:tc>
          <w:tcPr>
            <w:tcW w:w="873" w:type="dxa"/>
            <w:vMerge w:val="restart"/>
            <w:tcBorders>
              <w:top w:val="single" w:color="000000" w:sz="8" w:space="0"/>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公开主体</w:t>
            </w:r>
          </w:p>
        </w:tc>
        <w:tc>
          <w:tcPr>
            <w:tcW w:w="1868" w:type="dxa"/>
            <w:vMerge w:val="restart"/>
            <w:tcBorders>
              <w:top w:val="single" w:color="000000" w:sz="8" w:space="0"/>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公开渠道和载体</w:t>
            </w:r>
          </w:p>
        </w:tc>
        <w:tc>
          <w:tcPr>
            <w:tcW w:w="1070"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公开对象</w:t>
            </w:r>
          </w:p>
        </w:tc>
        <w:tc>
          <w:tcPr>
            <w:tcW w:w="1472"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公开方式</w:t>
            </w:r>
          </w:p>
        </w:tc>
        <w:tc>
          <w:tcPr>
            <w:tcW w:w="1332"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公开层级</w:t>
            </w:r>
          </w:p>
        </w:tc>
      </w:tr>
      <w:tr>
        <w:tblPrEx>
          <w:shd w:val="clear"/>
          <w:tblLayout w:type="fixed"/>
          <w:tblCellMar>
            <w:top w:w="0" w:type="dxa"/>
            <w:left w:w="0" w:type="dxa"/>
            <w:bottom w:w="0" w:type="dxa"/>
            <w:right w:w="0" w:type="dxa"/>
          </w:tblCellMar>
        </w:tblPrEx>
        <w:trPr>
          <w:trHeight w:val="720" w:hRule="atLeast"/>
        </w:trPr>
        <w:tc>
          <w:tcPr>
            <w:tcW w:w="449"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88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一级事项</w:t>
            </w:r>
          </w:p>
        </w:tc>
        <w:tc>
          <w:tcPr>
            <w:tcW w:w="925"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二级事项</w:t>
            </w:r>
          </w:p>
        </w:tc>
        <w:tc>
          <w:tcPr>
            <w:tcW w:w="1488"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2250"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1350"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873"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1868"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全社会</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特定群体</w:t>
            </w:r>
          </w:p>
        </w:tc>
        <w:tc>
          <w:tcPr>
            <w:tcW w:w="756"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主动</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w:t>
            </w:r>
          </w:p>
        </w:tc>
        <w:tc>
          <w:tcPr>
            <w:tcW w:w="716"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依申请</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w:t>
            </w:r>
          </w:p>
        </w:tc>
        <w:tc>
          <w:tcPr>
            <w:tcW w:w="708"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州级</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县级</w:t>
            </w:r>
          </w:p>
        </w:tc>
        <w:tc>
          <w:tcPr>
            <w:tcW w:w="624"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乡级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村级</w:t>
            </w:r>
          </w:p>
        </w:tc>
      </w:tr>
      <w:tr>
        <w:tblPrEx>
          <w:shd w:val="clear"/>
          <w:tblLayout w:type="fixed"/>
          <w:tblCellMar>
            <w:top w:w="0" w:type="dxa"/>
            <w:left w:w="0" w:type="dxa"/>
            <w:bottom w:w="0" w:type="dxa"/>
            <w:right w:w="0" w:type="dxa"/>
          </w:tblCellMar>
        </w:tblPrEx>
        <w:trPr>
          <w:trHeight w:val="2420"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1</w:t>
            </w:r>
          </w:p>
        </w:tc>
        <w:tc>
          <w:tcPr>
            <w:tcW w:w="886"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统计法律规范</w:t>
            </w: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统计法律法规规章</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统计领域相关法律、法规、规章</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《中华人民共和国统计法》《中华人民共和国政府信息公开条例》《中华人民共和国统计法实施条例》</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信息形成或者变更之日起20个工作日内</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■纸质</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■入户/现场</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2420"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2</w:t>
            </w:r>
          </w:p>
        </w:tc>
        <w:tc>
          <w:tcPr>
            <w:tcW w:w="886"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规范性文件</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统计领域相关规范性文件</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《中华人民共和国统计法》《中华人民共和国政府信息公开条例》《中华人民共和国统计法实施条例》</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信息形成或者变更之日起20个工作日内</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■纸质</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■入户/现场</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2420"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3</w:t>
            </w:r>
          </w:p>
        </w:tc>
        <w:tc>
          <w:tcPr>
            <w:tcW w:w="886"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统计调查制度</w:t>
            </w: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国家统计调查制度</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开展统计调查工作中执行的国家统计调查制度的主要内容</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《中华人民共和国统计法》《中华人民共和国政府信息公开条例》《中华人民共和国统计法实施条例》</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实时更新</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■入户/现场</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■社区/企事业单位/村公示栏</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2420"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4</w:t>
            </w:r>
          </w:p>
        </w:tc>
        <w:tc>
          <w:tcPr>
            <w:tcW w:w="886"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地方统计调查制度</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开展统计调查工作中执行的地方统计调查制度的主要内容</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《中华人民共和国统计法》《中华人民共和国政府信息公开条例》《中华人民共和国统计法实施条例》</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实时更新</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■入户/现场</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■社区/企事业单位/村公示栏</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2420"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5</w:t>
            </w:r>
          </w:p>
        </w:tc>
        <w:tc>
          <w:tcPr>
            <w:tcW w:w="886"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统计数据</w:t>
            </w: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数据发布</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统计公报，年度、季度、月度主要统计数据，按国家规定对外发布的重大国情国力普查数据和重要统计调查相关数据</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《中华人民共和国统计法》《中华人民共和国政府信息公开条例》《中华人民共和国统计法实施条例》</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适时发布</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■政府公报</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■纸质          </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1553"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6</w:t>
            </w:r>
          </w:p>
        </w:tc>
        <w:tc>
          <w:tcPr>
            <w:tcW w:w="886"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数据解读</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统计数据发布后的配套解读</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《中华人民共和国统计法》《中华人民共和国政府信息公开条例》《中华人民共和国统计法实施条例》</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适时发布</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■政府公报</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■纸质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2420"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7</w:t>
            </w:r>
          </w:p>
        </w:tc>
        <w:tc>
          <w:tcPr>
            <w:tcW w:w="886"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统计执法监督</w:t>
            </w: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行政处罚信息公示</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作出的行政处罚决定信息（法律、行政法规另有规定的除外）</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适时公开</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■信用中国（新疆·克州）    </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2811"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8</w:t>
            </w:r>
          </w:p>
        </w:tc>
        <w:tc>
          <w:tcPr>
            <w:tcW w:w="886"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“双随机”抽查</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统计“双随机”抽查名单和结果</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《中华人民共和国政府信息公开条例》《国务院办公厅关于推广随机抽查规范事中事后监管的通知》《国家统计局统计执法“双随机”抽查办法（试行）》</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适时公开</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■纸质     </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2420" w:hRule="atLeast"/>
        </w:trPr>
        <w:tc>
          <w:tcPr>
            <w:tcW w:w="44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9</w:t>
            </w:r>
          </w:p>
        </w:tc>
        <w:tc>
          <w:tcPr>
            <w:tcW w:w="886"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c>
          <w:tcPr>
            <w:tcW w:w="92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统计严重失信</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企业公示</w:t>
            </w:r>
          </w:p>
        </w:tc>
        <w:tc>
          <w:tcPr>
            <w:tcW w:w="148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统计严重失信企业失信信息</w:t>
            </w:r>
          </w:p>
        </w:tc>
        <w:tc>
          <w:tcPr>
            <w:tcW w:w="22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《国务院办公厅关于进一步完善失信约束制度构建诚信建设长效机制的指导意见》</w:t>
            </w:r>
          </w:p>
        </w:tc>
        <w:tc>
          <w:tcPr>
            <w:tcW w:w="135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适时公开</w:t>
            </w:r>
          </w:p>
        </w:tc>
        <w:tc>
          <w:tcPr>
            <w:tcW w:w="87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统计部门</w:t>
            </w:r>
          </w:p>
        </w:tc>
        <w:tc>
          <w:tcPr>
            <w:tcW w:w="186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■政府网站  </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■公开查阅点</w:t>
            </w:r>
            <w:r>
              <w:rPr>
                <w:rFonts w:hint="default" w:ascii="Segoe UI" w:hAnsi="Segoe UI" w:eastAsia="Segoe UI" w:cs="Segoe UI"/>
                <w:i w:val="0"/>
                <w:caps w:val="0"/>
                <w:color w:val="000000"/>
                <w:spacing w:val="0"/>
                <w:kern w:val="0"/>
                <w:sz w:val="24"/>
                <w:szCs w:val="24"/>
                <w:bdr w:val="none" w:color="auto" w:sz="0" w:space="0"/>
                <w:lang w:val="en-US" w:eastAsia="zh-CN" w:bidi="ar"/>
              </w:rPr>
              <w:br w:type="textWrapping"/>
            </w:r>
            <w:r>
              <w:rPr>
                <w:rFonts w:hint="default" w:ascii="Segoe UI" w:hAnsi="Segoe UI" w:eastAsia="Segoe UI" w:cs="Segoe UI"/>
                <w:i w:val="0"/>
                <w:caps w:val="0"/>
                <w:color w:val="000000"/>
                <w:spacing w:val="0"/>
                <w:kern w:val="0"/>
                <w:sz w:val="24"/>
                <w:szCs w:val="24"/>
                <w:bdr w:val="none" w:color="auto" w:sz="0" w:space="0"/>
                <w:lang w:val="en-US" w:eastAsia="zh-CN" w:bidi="ar"/>
              </w:rPr>
              <w:t>■信用中国（新疆·克州）    </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5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5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71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Segoe UI" w:hAnsi="Segoe UI" w:eastAsia="Segoe UI" w:cs="Segoe UI"/>
                <w:i w:val="0"/>
                <w:caps w:val="0"/>
                <w:color w:val="000000"/>
                <w:spacing w:val="0"/>
                <w:kern w:val="0"/>
                <w:sz w:val="24"/>
                <w:szCs w:val="24"/>
                <w:bdr w:val="none" w:color="auto" w:sz="0" w:space="0"/>
                <w:lang w:val="en-US" w:eastAsia="zh-CN" w:bidi="ar"/>
              </w:rPr>
              <w:t> </w:t>
            </w:r>
          </w:p>
        </w:tc>
        <w:tc>
          <w:tcPr>
            <w:tcW w:w="708"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center"/>
            </w:pPr>
            <w:r>
              <w:rPr>
                <w:rFonts w:hint="default" w:ascii="Segoe UI" w:hAnsi="Segoe UI" w:eastAsia="Segoe UI" w:cs="Segoe UI"/>
                <w:i w:val="0"/>
                <w:caps w:val="0"/>
                <w:color w:val="000000"/>
                <w:spacing w:val="0"/>
                <w:kern w:val="0"/>
                <w:sz w:val="24"/>
                <w:szCs w:val="24"/>
                <w:bdr w:val="none" w:color="auto" w:sz="0" w:space="0"/>
                <w:lang w:val="en-US" w:eastAsia="zh-CN" w:bidi="ar"/>
              </w:rPr>
              <w:t>√</w:t>
            </w:r>
          </w:p>
        </w:tc>
        <w:tc>
          <w:tcPr>
            <w:tcW w:w="624"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Segoe UI" w:hAnsi="Segoe UI" w:eastAsia="Segoe UI" w:cs="Segoe UI"/>
                <w:i w:val="0"/>
                <w:caps w:val="0"/>
                <w:color w:val="000000"/>
                <w:spacing w:val="0"/>
                <w:sz w:val="19"/>
                <w:szCs w:val="19"/>
              </w:rPr>
            </w:pPr>
          </w:p>
        </w:tc>
      </w:tr>
    </w:tbl>
    <w:p>
      <w:pPr>
        <w:keepNext w:val="0"/>
        <w:keepLines w:val="0"/>
        <w:widowControl/>
        <w:suppressLineNumbers w:val="0"/>
        <w:jc w:val="lef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8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2025-02-19T05:17:28Z</dcterms:created>
  <dc:creator>Administrator</dc:creator>
  <cp:lastModifiedBy>Administrator</cp:lastModifiedBy>
  <dcterms:modified xsi:type="dcterms:W3CDTF">2025-02-19T05:18:11Z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