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733" w:type="dxa"/>
        <w:jc w:val="center"/>
        <w:tblInd w:w="164"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837"/>
        <w:gridCol w:w="1608"/>
        <w:gridCol w:w="602"/>
        <w:gridCol w:w="1150"/>
        <w:gridCol w:w="1062"/>
        <w:gridCol w:w="631"/>
        <w:gridCol w:w="532"/>
        <w:gridCol w:w="936"/>
        <w:gridCol w:w="509"/>
        <w:gridCol w:w="396"/>
        <w:gridCol w:w="393"/>
        <w:gridCol w:w="495"/>
        <w:gridCol w:w="638"/>
        <w:gridCol w:w="1944"/>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jc w:val="center"/>
        </w:trPr>
        <w:tc>
          <w:tcPr>
            <w:tcW w:w="1837" w:type="dxa"/>
            <w:vMerge w:val="restart"/>
            <w:tcBorders>
              <w:top w:val="outset" w:color="000000" w:sz="8" w:space="0"/>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序号</w:t>
            </w:r>
          </w:p>
        </w:tc>
        <w:tc>
          <w:tcPr>
            <w:tcW w:w="2210" w:type="dxa"/>
            <w:gridSpan w:val="2"/>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公开事项</w:t>
            </w:r>
          </w:p>
        </w:tc>
        <w:tc>
          <w:tcPr>
            <w:tcW w:w="1150" w:type="dxa"/>
            <w:vMerge w:val="restart"/>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公开内容（要素）</w:t>
            </w:r>
          </w:p>
        </w:tc>
        <w:tc>
          <w:tcPr>
            <w:tcW w:w="1062" w:type="dxa"/>
            <w:vMerge w:val="restart"/>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公开依据</w:t>
            </w:r>
          </w:p>
        </w:tc>
        <w:tc>
          <w:tcPr>
            <w:tcW w:w="631" w:type="dxa"/>
            <w:vMerge w:val="restart"/>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公开时限</w:t>
            </w:r>
          </w:p>
        </w:tc>
        <w:tc>
          <w:tcPr>
            <w:tcW w:w="532" w:type="dxa"/>
            <w:vMerge w:val="restart"/>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公开主体</w:t>
            </w:r>
          </w:p>
        </w:tc>
        <w:tc>
          <w:tcPr>
            <w:tcW w:w="936" w:type="dxa"/>
            <w:vMerge w:val="restart"/>
            <w:tcBorders>
              <w:top w:val="outset" w:color="000000" w:sz="8" w:space="0"/>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公开渠道和载体</w:t>
            </w:r>
          </w:p>
        </w:tc>
        <w:tc>
          <w:tcPr>
            <w:tcW w:w="9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公开对象</w:t>
            </w:r>
          </w:p>
        </w:tc>
        <w:tc>
          <w:tcPr>
            <w:tcW w:w="888" w:type="dxa"/>
            <w:gridSpan w:val="2"/>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公开方式</w:t>
            </w:r>
          </w:p>
        </w:tc>
        <w:tc>
          <w:tcPr>
            <w:tcW w:w="2582" w:type="dxa"/>
            <w:gridSpan w:val="2"/>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公开层级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371" w:hRule="atLeast"/>
          <w:jc w:val="center"/>
        </w:trPr>
        <w:tc>
          <w:tcPr>
            <w:tcW w:w="1837" w:type="dxa"/>
            <w:vMerge w:val="continue"/>
            <w:tcBorders>
              <w:top w:val="outset" w:color="000000" w:sz="8" w:space="0"/>
              <w:left w:val="outset" w:color="000000" w:sz="8" w:space="0"/>
              <w:bottom w:val="outset" w:color="000000" w:sz="8" w:space="0"/>
              <w:right w:val="outset" w:color="000000" w:sz="8" w:space="0"/>
            </w:tcBorders>
            <w:shd w:val="clear" w:color="auto" w:fill="FFFFFF"/>
            <w:vAlign w:val="center"/>
          </w:tcPr>
          <w:p>
            <w:pPr>
              <w:rPr>
                <w:rFonts w:hint="eastAsia" w:ascii="微软雅黑" w:hAnsi="微软雅黑" w:eastAsia="微软雅黑" w:cs="微软雅黑"/>
                <w:sz w:val="28"/>
                <w:szCs w:val="28"/>
              </w:rPr>
            </w:pPr>
          </w:p>
        </w:tc>
        <w:tc>
          <w:tcPr>
            <w:tcW w:w="160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一级事项</w:t>
            </w:r>
          </w:p>
        </w:tc>
        <w:tc>
          <w:tcPr>
            <w:tcW w:w="60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二级事项</w:t>
            </w:r>
          </w:p>
        </w:tc>
        <w:tc>
          <w:tcPr>
            <w:tcW w:w="1150" w:type="dxa"/>
            <w:vMerge w:val="continue"/>
            <w:tcBorders>
              <w:top w:val="outset" w:color="000000" w:sz="8" w:space="0"/>
              <w:left w:val="nil"/>
              <w:bottom w:val="outset" w:color="000000" w:sz="8" w:space="0"/>
              <w:right w:val="outset" w:color="000000" w:sz="8" w:space="0"/>
            </w:tcBorders>
            <w:shd w:val="clear" w:color="auto" w:fill="FFFFFF"/>
            <w:vAlign w:val="center"/>
          </w:tcPr>
          <w:p>
            <w:pPr>
              <w:rPr>
                <w:rFonts w:hint="eastAsia" w:ascii="微软雅黑" w:hAnsi="微软雅黑" w:eastAsia="微软雅黑" w:cs="微软雅黑"/>
                <w:sz w:val="28"/>
                <w:szCs w:val="28"/>
              </w:rPr>
            </w:pPr>
          </w:p>
        </w:tc>
        <w:tc>
          <w:tcPr>
            <w:tcW w:w="1062" w:type="dxa"/>
            <w:vMerge w:val="continue"/>
            <w:tcBorders>
              <w:top w:val="outset" w:color="000000" w:sz="8" w:space="0"/>
              <w:left w:val="nil"/>
              <w:bottom w:val="outset" w:color="000000" w:sz="8" w:space="0"/>
              <w:right w:val="outset" w:color="000000" w:sz="8" w:space="0"/>
            </w:tcBorders>
            <w:shd w:val="clear" w:color="auto" w:fill="FFFFFF"/>
            <w:vAlign w:val="center"/>
          </w:tcPr>
          <w:p>
            <w:pPr>
              <w:rPr>
                <w:rFonts w:hint="eastAsia" w:ascii="微软雅黑" w:hAnsi="微软雅黑" w:eastAsia="微软雅黑" w:cs="微软雅黑"/>
                <w:sz w:val="28"/>
                <w:szCs w:val="28"/>
              </w:rPr>
            </w:pPr>
          </w:p>
        </w:tc>
        <w:tc>
          <w:tcPr>
            <w:tcW w:w="631" w:type="dxa"/>
            <w:vMerge w:val="continue"/>
            <w:tcBorders>
              <w:top w:val="outset" w:color="000000" w:sz="8" w:space="0"/>
              <w:left w:val="nil"/>
              <w:bottom w:val="outset" w:color="000000" w:sz="8" w:space="0"/>
              <w:right w:val="outset" w:color="000000" w:sz="8" w:space="0"/>
            </w:tcBorders>
            <w:shd w:val="clear" w:color="auto" w:fill="FFFFFF"/>
            <w:vAlign w:val="center"/>
          </w:tcPr>
          <w:p>
            <w:pPr>
              <w:rPr>
                <w:rFonts w:hint="eastAsia" w:ascii="微软雅黑" w:hAnsi="微软雅黑" w:eastAsia="微软雅黑" w:cs="微软雅黑"/>
                <w:sz w:val="28"/>
                <w:szCs w:val="28"/>
              </w:rPr>
            </w:pPr>
          </w:p>
        </w:tc>
        <w:tc>
          <w:tcPr>
            <w:tcW w:w="532" w:type="dxa"/>
            <w:vMerge w:val="continue"/>
            <w:tcBorders>
              <w:top w:val="outset" w:color="000000" w:sz="8" w:space="0"/>
              <w:left w:val="nil"/>
              <w:bottom w:val="outset" w:color="000000" w:sz="8" w:space="0"/>
              <w:right w:val="outset" w:color="000000" w:sz="8" w:space="0"/>
            </w:tcBorders>
            <w:shd w:val="clear" w:color="auto" w:fill="FFFFFF"/>
            <w:vAlign w:val="center"/>
          </w:tcPr>
          <w:p>
            <w:pPr>
              <w:rPr>
                <w:rFonts w:hint="eastAsia" w:ascii="微软雅黑" w:hAnsi="微软雅黑" w:eastAsia="微软雅黑" w:cs="微软雅黑"/>
                <w:sz w:val="28"/>
                <w:szCs w:val="28"/>
              </w:rPr>
            </w:pPr>
          </w:p>
        </w:tc>
        <w:tc>
          <w:tcPr>
            <w:tcW w:w="936" w:type="dxa"/>
            <w:vMerge w:val="continue"/>
            <w:tcBorders>
              <w:top w:val="outset" w:color="000000" w:sz="8" w:space="0"/>
              <w:left w:val="outset" w:color="000000" w:sz="8" w:space="0"/>
              <w:bottom w:val="outset" w:color="000000" w:sz="8" w:space="0"/>
              <w:right w:val="outset" w:color="000000" w:sz="8" w:space="0"/>
            </w:tcBorders>
            <w:shd w:val="clear" w:color="auto" w:fill="FFFFFF"/>
            <w:vAlign w:val="center"/>
          </w:tcPr>
          <w:p>
            <w:pPr>
              <w:rPr>
                <w:rFonts w:hint="eastAsia" w:ascii="微软雅黑" w:hAnsi="微软雅黑" w:eastAsia="微软雅黑" w:cs="微软雅黑"/>
                <w:sz w:val="28"/>
                <w:szCs w:val="28"/>
              </w:rPr>
            </w:pPr>
          </w:p>
        </w:tc>
        <w:tc>
          <w:tcPr>
            <w:tcW w:w="509"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全社会</w:t>
            </w:r>
          </w:p>
        </w:tc>
        <w:tc>
          <w:tcPr>
            <w:tcW w:w="39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特定群众</w:t>
            </w:r>
          </w:p>
        </w:tc>
        <w:tc>
          <w:tcPr>
            <w:tcW w:w="393" w:type="dxa"/>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主动</w:t>
            </w:r>
          </w:p>
        </w:tc>
        <w:tc>
          <w:tcPr>
            <w:tcW w:w="495" w:type="dxa"/>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依申请公开</w:t>
            </w:r>
          </w:p>
        </w:tc>
        <w:tc>
          <w:tcPr>
            <w:tcW w:w="638" w:type="dxa"/>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州级县级</w:t>
            </w:r>
          </w:p>
        </w:tc>
        <w:tc>
          <w:tcPr>
            <w:tcW w:w="1944" w:type="dxa"/>
            <w:tcBorders>
              <w:top w:val="outset" w:color="000000" w:sz="8" w:space="0"/>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乡、村级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3832"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bdr w:val="none" w:color="auto" w:sz="0" w:space="0"/>
              </w:rPr>
              <w:t>1</w:t>
            </w:r>
          </w:p>
        </w:tc>
        <w:tc>
          <w:tcPr>
            <w:tcW w:w="1608" w:type="dxa"/>
            <w:tcBorders>
              <w:top w:val="nil"/>
              <w:left w:val="nil"/>
              <w:bottom w:val="single" w:color="auto"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政策法规文件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60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法律、行政法规、部门规章</w:t>
            </w:r>
          </w:p>
        </w:tc>
        <w:tc>
          <w:tcPr>
            <w:tcW w:w="1150"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广播电视管理条例》《广播电视设施保护条例》《广播电视安全播出管理规定》《广播电视网络安全管理办法》《广播电视广告播出管理办法》《卫星电视广播地面接收设施管理规定》《&lt;卫星电视广播地面接收设施管理规定&gt;实施细则》《广播电视节目传送业务管理办法》《广播电视站审批管理暂行规定》《广播电视无线传输覆盖网管理办法》《广播电视行业统计管理规定》</w:t>
            </w:r>
          </w:p>
        </w:tc>
        <w:tc>
          <w:tcPr>
            <w:tcW w:w="106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《中华人民共和国政府信息公开条例》</w:t>
            </w:r>
          </w:p>
        </w:tc>
        <w:tc>
          <w:tcPr>
            <w:tcW w:w="631"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广播电视部门</w:t>
            </w:r>
          </w:p>
        </w:tc>
        <w:tc>
          <w:tcPr>
            <w:tcW w:w="93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■纸质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■公开查阅点</w:t>
            </w:r>
          </w:p>
        </w:tc>
        <w:tc>
          <w:tcPr>
            <w:tcW w:w="509"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39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393"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495"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63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1944"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017"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bdr w:val="none" w:color="auto" w:sz="0" w:space="0"/>
              </w:rPr>
              <w:t>2</w:t>
            </w:r>
          </w:p>
        </w:tc>
        <w:tc>
          <w:tcPr>
            <w:tcW w:w="160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政策法规文件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 </w:t>
            </w:r>
          </w:p>
        </w:tc>
        <w:tc>
          <w:tcPr>
            <w:tcW w:w="60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规范性文件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150"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各级广播电视行政管理机构涉及广播电视和网络视听领域的规范性文件。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06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《中华人民共和国政府信息公开条例》</w:t>
            </w:r>
          </w:p>
        </w:tc>
        <w:tc>
          <w:tcPr>
            <w:tcW w:w="631"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广播电视部门</w:t>
            </w:r>
          </w:p>
        </w:tc>
        <w:tc>
          <w:tcPr>
            <w:tcW w:w="93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■纸质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■公开查阅点  </w:t>
            </w:r>
          </w:p>
        </w:tc>
        <w:tc>
          <w:tcPr>
            <w:tcW w:w="509"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39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393"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495"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63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1944"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3864"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bdr w:val="none" w:color="auto" w:sz="0" w:space="0"/>
              </w:rPr>
              <w:t>3</w:t>
            </w:r>
          </w:p>
        </w:tc>
        <w:tc>
          <w:tcPr>
            <w:tcW w:w="1608"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行政许可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 </w:t>
            </w:r>
          </w:p>
        </w:tc>
        <w:tc>
          <w:tcPr>
            <w:tcW w:w="60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乡镇设立广播电视站和机关、部队、团体、企业事业单位设立有线广播电视站审批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150"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1.办事指南：主要包括适用范围、受理机构、事项名称、设定依据、申请条件、办理材料、办理地点、办理时间、联系电话、办理流程、办理期限、收费依据及标准、监督投诉渠道等；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2.审批结果。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06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2.《广播电视站审批管理暂行规定》</w:t>
            </w:r>
          </w:p>
        </w:tc>
        <w:tc>
          <w:tcPr>
            <w:tcW w:w="631"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广播电视部门</w:t>
            </w:r>
          </w:p>
        </w:tc>
        <w:tc>
          <w:tcPr>
            <w:tcW w:w="936"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■纸质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■新疆政务服务网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■信用中国（新疆·克州）</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509"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firstLine="24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39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393"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495"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63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p>
        </w:tc>
        <w:tc>
          <w:tcPr>
            <w:tcW w:w="1944"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297"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bdr w:val="none" w:color="auto" w:sz="0" w:space="0"/>
              </w:rPr>
              <w:t>4</w:t>
            </w:r>
          </w:p>
        </w:tc>
        <w:tc>
          <w:tcPr>
            <w:tcW w:w="1608"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行政许可</w:t>
            </w:r>
          </w:p>
        </w:tc>
        <w:tc>
          <w:tcPr>
            <w:tcW w:w="60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有线广播电视传输覆盖网工程验收审核</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150"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1.办事指南：主要包括适用范围、受理机构、事项名称、设定依据、申请条件、办理材料、办理地点、办理时间、联系电话、办理流程、办理期限、收费依据及标准、监督投诉渠道等；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2.审批结果。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06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《广播电视管理条例》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631"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广播电视部门</w:t>
            </w:r>
          </w:p>
        </w:tc>
        <w:tc>
          <w:tcPr>
            <w:tcW w:w="936"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■纸质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■新疆政务服务网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■信用中国（新疆·克州）</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509"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w:t>
            </w:r>
          </w:p>
        </w:tc>
        <w:tc>
          <w:tcPr>
            <w:tcW w:w="396" w:type="dxa"/>
            <w:tcBorders>
              <w:top w:val="nil"/>
              <w:left w:val="nil"/>
              <w:bottom w:val="outset" w:color="000000" w:sz="8" w:space="0"/>
              <w:right w:val="outset" w:color="000000" w:sz="8" w:space="0"/>
            </w:tcBorders>
            <w:shd w:val="clear" w:color="auto" w:fill="FFFFFF"/>
            <w:vAlign w:val="center"/>
          </w:tcPr>
          <w:p>
            <w:pPr>
              <w:jc w:val="center"/>
              <w:rPr>
                <w:rFonts w:hint="eastAsia" w:ascii="微软雅黑" w:hAnsi="微软雅黑" w:eastAsia="微软雅黑" w:cs="微软雅黑"/>
                <w:sz w:val="28"/>
                <w:szCs w:val="28"/>
              </w:rPr>
            </w:pPr>
          </w:p>
        </w:tc>
        <w:tc>
          <w:tcPr>
            <w:tcW w:w="393"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w:t>
            </w:r>
          </w:p>
        </w:tc>
        <w:tc>
          <w:tcPr>
            <w:tcW w:w="495" w:type="dxa"/>
            <w:tcBorders>
              <w:top w:val="nil"/>
              <w:left w:val="nil"/>
              <w:bottom w:val="outset" w:color="000000" w:sz="8" w:space="0"/>
              <w:right w:val="outset" w:color="000000" w:sz="8" w:space="0"/>
            </w:tcBorders>
            <w:shd w:val="clear" w:color="auto" w:fill="FFFFFF"/>
            <w:vAlign w:val="center"/>
          </w:tcPr>
          <w:p>
            <w:pPr>
              <w:jc w:val="center"/>
              <w:rPr>
                <w:rFonts w:hint="eastAsia" w:ascii="微软雅黑" w:hAnsi="微软雅黑" w:eastAsia="微软雅黑" w:cs="微软雅黑"/>
                <w:sz w:val="28"/>
                <w:szCs w:val="28"/>
              </w:rPr>
            </w:pPr>
          </w:p>
        </w:tc>
        <w:tc>
          <w:tcPr>
            <w:tcW w:w="638"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w:t>
            </w:r>
          </w:p>
        </w:tc>
        <w:tc>
          <w:tcPr>
            <w:tcW w:w="1944" w:type="dxa"/>
            <w:tcBorders>
              <w:top w:val="nil"/>
              <w:left w:val="nil"/>
              <w:bottom w:val="outset" w:color="000000" w:sz="8" w:space="0"/>
              <w:right w:val="outset" w:color="000000" w:sz="8" w:space="0"/>
            </w:tcBorders>
            <w:shd w:val="clear" w:color="auto" w:fill="FFFFFF"/>
            <w:vAlign w:val="center"/>
          </w:tcPr>
          <w:p>
            <w:pPr>
              <w:rPr>
                <w:rFonts w:hint="eastAsia" w:ascii="微软雅黑" w:hAnsi="微软雅黑" w:eastAsia="微软雅黑" w:cs="微软雅黑"/>
                <w:sz w:val="28"/>
                <w:szCs w:val="28"/>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5036"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firstLine="240"/>
              <w:rPr>
                <w:rFonts w:hint="eastAsia" w:ascii="微软雅黑" w:hAnsi="微软雅黑" w:eastAsia="微软雅黑" w:cs="微软雅黑"/>
                <w:sz w:val="28"/>
                <w:szCs w:val="28"/>
              </w:rPr>
            </w:pPr>
            <w:r>
              <w:rPr>
                <w:rFonts w:hint="eastAsia" w:ascii="微软雅黑" w:hAnsi="微软雅黑" w:eastAsia="微软雅黑" w:cs="微软雅黑"/>
                <w:color w:val="000000"/>
                <w:sz w:val="28"/>
                <w:szCs w:val="28"/>
                <w:bdr w:val="none" w:color="auto" w:sz="0" w:space="0"/>
              </w:rPr>
              <w:t>5</w:t>
            </w:r>
          </w:p>
        </w:tc>
        <w:tc>
          <w:tcPr>
            <w:tcW w:w="1608" w:type="dxa"/>
            <w:tcBorders>
              <w:top w:val="nil"/>
              <w:left w:val="nil"/>
              <w:bottom w:val="single" w:color="auto"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行政许可</w:t>
            </w:r>
          </w:p>
        </w:tc>
        <w:tc>
          <w:tcPr>
            <w:tcW w:w="60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卫星电视广播地面接收设施安装服务许可</w:t>
            </w:r>
          </w:p>
        </w:tc>
        <w:tc>
          <w:tcPr>
            <w:tcW w:w="1150"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1.办事指南：主要包括适用范围、受理机构、事项名称、设定依据、申请条件、办理材料、办理地点、办理时间、联系电话、办理流程、办理期限、收费依据及标准、监督投诉渠道等；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2.审批结果。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06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1.《卫星电视广播地面接收设施管理规定》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2.《卫星电视广播地面接收设施安装服务暂行办法》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3.《广电总局关于设立卫星地面接收设施安装服务机构审批事项的通知》</w:t>
            </w:r>
          </w:p>
        </w:tc>
        <w:tc>
          <w:tcPr>
            <w:tcW w:w="631"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广播电视部门</w:t>
            </w:r>
          </w:p>
        </w:tc>
        <w:tc>
          <w:tcPr>
            <w:tcW w:w="936"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■纸质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■新疆政务服务网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■信用中国（新疆·克州）</w:t>
            </w:r>
          </w:p>
        </w:tc>
        <w:tc>
          <w:tcPr>
            <w:tcW w:w="509"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39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393"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495"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63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w:t>
            </w:r>
          </w:p>
        </w:tc>
        <w:tc>
          <w:tcPr>
            <w:tcW w:w="1944"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2239"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color w:val="000000"/>
                <w:sz w:val="28"/>
                <w:szCs w:val="28"/>
                <w:bdr w:val="none" w:color="auto" w:sz="0" w:space="0"/>
              </w:rPr>
              <w:t>6</w:t>
            </w:r>
          </w:p>
        </w:tc>
        <w:tc>
          <w:tcPr>
            <w:tcW w:w="1608" w:type="dxa"/>
            <w:tcBorders>
              <w:top w:val="nil"/>
              <w:left w:val="nil"/>
              <w:bottom w:val="single" w:color="auto"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行政许可</w:t>
            </w:r>
          </w:p>
        </w:tc>
        <w:tc>
          <w:tcPr>
            <w:tcW w:w="60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设置卫星电视广播地面接收设施审批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150"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1.办事指南：主要包括适用范围、受理机构、事项名称、设定依据、申请条件、办理材料、办理地点、办理时间、联系电话、办理流程、办理期限、收费依据及标准、监督投诉渠道等；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2.审批结果。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p>
        </w:tc>
        <w:tc>
          <w:tcPr>
            <w:tcW w:w="106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2.《卫星电视广播地面接收设施管理规定》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3.《〈卫星电视广播地面接收设施管理规定〉实施细则》</w:t>
            </w:r>
          </w:p>
        </w:tc>
        <w:tc>
          <w:tcPr>
            <w:tcW w:w="631"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广播电视部门</w:t>
            </w:r>
          </w:p>
        </w:tc>
        <w:tc>
          <w:tcPr>
            <w:tcW w:w="936"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■纸质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■新疆政务服务网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■信用中国（新疆·克州）</w:t>
            </w:r>
          </w:p>
        </w:tc>
        <w:tc>
          <w:tcPr>
            <w:tcW w:w="509"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w:t>
            </w:r>
          </w:p>
        </w:tc>
        <w:tc>
          <w:tcPr>
            <w:tcW w:w="396" w:type="dxa"/>
            <w:tcBorders>
              <w:top w:val="nil"/>
              <w:left w:val="nil"/>
              <w:bottom w:val="outset" w:color="000000" w:sz="8" w:space="0"/>
              <w:right w:val="outset" w:color="000000" w:sz="8" w:space="0"/>
            </w:tcBorders>
            <w:shd w:val="clear" w:color="auto" w:fill="FFFFFF"/>
            <w:vAlign w:val="center"/>
          </w:tcPr>
          <w:p>
            <w:pPr>
              <w:jc w:val="center"/>
              <w:rPr>
                <w:rFonts w:hint="eastAsia" w:ascii="微软雅黑" w:hAnsi="微软雅黑" w:eastAsia="微软雅黑" w:cs="微软雅黑"/>
                <w:sz w:val="28"/>
                <w:szCs w:val="28"/>
              </w:rPr>
            </w:pPr>
          </w:p>
        </w:tc>
        <w:tc>
          <w:tcPr>
            <w:tcW w:w="393"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w:t>
            </w:r>
          </w:p>
        </w:tc>
        <w:tc>
          <w:tcPr>
            <w:tcW w:w="495" w:type="dxa"/>
            <w:tcBorders>
              <w:top w:val="nil"/>
              <w:left w:val="nil"/>
              <w:bottom w:val="outset" w:color="000000" w:sz="8" w:space="0"/>
              <w:right w:val="outset" w:color="000000" w:sz="8" w:space="0"/>
            </w:tcBorders>
            <w:shd w:val="clear" w:color="auto" w:fill="FFFFFF"/>
            <w:vAlign w:val="center"/>
          </w:tcPr>
          <w:p>
            <w:pPr>
              <w:jc w:val="center"/>
              <w:rPr>
                <w:rFonts w:hint="eastAsia" w:ascii="微软雅黑" w:hAnsi="微软雅黑" w:eastAsia="微软雅黑" w:cs="微软雅黑"/>
                <w:sz w:val="28"/>
                <w:szCs w:val="28"/>
              </w:rPr>
            </w:pPr>
          </w:p>
        </w:tc>
        <w:tc>
          <w:tcPr>
            <w:tcW w:w="638"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w:t>
            </w:r>
          </w:p>
        </w:tc>
        <w:tc>
          <w:tcPr>
            <w:tcW w:w="1944" w:type="dxa"/>
            <w:tcBorders>
              <w:top w:val="nil"/>
              <w:left w:val="nil"/>
              <w:bottom w:val="outset" w:color="000000" w:sz="8" w:space="0"/>
              <w:right w:val="outset" w:color="000000" w:sz="8" w:space="0"/>
            </w:tcBorders>
            <w:shd w:val="clear" w:color="auto" w:fill="FFFFFF"/>
            <w:vAlign w:val="center"/>
          </w:tcPr>
          <w:p>
            <w:pPr>
              <w:rPr>
                <w:rFonts w:hint="eastAsia" w:ascii="微软雅黑" w:hAnsi="微软雅黑" w:eastAsia="微软雅黑" w:cs="微软雅黑"/>
                <w:sz w:val="28"/>
                <w:szCs w:val="28"/>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2239"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7</w:t>
            </w:r>
          </w:p>
        </w:tc>
        <w:tc>
          <w:tcPr>
            <w:tcW w:w="1608" w:type="dxa"/>
            <w:tcBorders>
              <w:top w:val="nil"/>
              <w:left w:val="nil"/>
              <w:bottom w:val="single" w:color="auto"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行政处罚</w:t>
            </w:r>
          </w:p>
        </w:tc>
        <w:tc>
          <w:tcPr>
            <w:tcW w:w="60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涉及播出机构及传送业务违规的行政处罚</w:t>
            </w:r>
          </w:p>
        </w:tc>
        <w:tc>
          <w:tcPr>
            <w:tcW w:w="1150"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1.处罚对象、案件名称、违法主要事实、处罚种类和内容、处罚依据、作出处罚决定部门、处罚时间；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2.处罚结果、处罚决定书文号、处罚履行方式和期限等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w:t>
            </w:r>
          </w:p>
        </w:tc>
        <w:tc>
          <w:tcPr>
            <w:tcW w:w="106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《广播电视管理条例》</w:t>
            </w:r>
          </w:p>
        </w:tc>
        <w:tc>
          <w:tcPr>
            <w:tcW w:w="631"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r>
              <w:rPr>
                <w:rFonts w:hint="eastAsia" w:ascii="微软雅黑" w:hAnsi="微软雅黑" w:eastAsia="微软雅黑" w:cs="微软雅黑"/>
                <w:i w:val="0"/>
                <w:caps w:val="0"/>
                <w:color w:val="414141"/>
                <w:spacing w:val="0"/>
                <w:sz w:val="28"/>
                <w:szCs w:val="28"/>
                <w:bdr w:val="none" w:color="auto" w:sz="0" w:space="0"/>
                <w:shd w:val="clear" w:fill="FFFFFF"/>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r>
              <w:rPr>
                <w:rFonts w:hint="eastAsia" w:ascii="微软雅黑" w:hAnsi="微软雅黑" w:eastAsia="微软雅黑" w:cs="微软雅黑"/>
                <w:i w:val="0"/>
                <w:caps w:val="0"/>
                <w:color w:val="414141"/>
                <w:spacing w:val="0"/>
                <w:sz w:val="28"/>
                <w:szCs w:val="28"/>
                <w:bdr w:val="none" w:color="auto" w:sz="0" w:space="0"/>
                <w:shd w:val="clear" w:fill="FFFFFF"/>
              </w:rPr>
              <w:t>广播电视部门</w:t>
            </w:r>
          </w:p>
        </w:tc>
        <w:tc>
          <w:tcPr>
            <w:tcW w:w="93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■纸质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■信用中国（新疆·克州）</w:t>
            </w:r>
          </w:p>
        </w:tc>
        <w:tc>
          <w:tcPr>
            <w:tcW w:w="509"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39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393"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495"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63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1944"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2239"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color w:val="000000"/>
                <w:sz w:val="28"/>
                <w:szCs w:val="28"/>
                <w:bdr w:val="none" w:color="auto" w:sz="0" w:space="0"/>
              </w:rPr>
              <w:t> 8</w:t>
            </w:r>
          </w:p>
        </w:tc>
        <w:tc>
          <w:tcPr>
            <w:tcW w:w="1608" w:type="dxa"/>
            <w:tcBorders>
              <w:top w:val="nil"/>
              <w:left w:val="nil"/>
              <w:bottom w:val="single" w:color="auto"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 </w:t>
            </w: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行政处罚</w:t>
            </w:r>
          </w:p>
        </w:tc>
        <w:tc>
          <w:tcPr>
            <w:tcW w:w="60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设置、安装和使用卫星地面接收设施违规的处罚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 </w:t>
            </w:r>
          </w:p>
        </w:tc>
        <w:tc>
          <w:tcPr>
            <w:tcW w:w="1150"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1.处罚对象、案件名称、违法主要事实、处罚种类和内容、处罚依据、作出处罚决定部门、处罚时间；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2.处罚结果、处罚决定书文号、处罚履行方式和期限等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w:t>
            </w:r>
          </w:p>
        </w:tc>
        <w:tc>
          <w:tcPr>
            <w:tcW w:w="106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《卫星地面接收设施接收外国卫星传送电视节目管理办法》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《卫星电视广播地面接收设施管理规定》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《〈卫星电视广播地面接收设施管理规定〉实施细则》</w:t>
            </w:r>
          </w:p>
        </w:tc>
        <w:tc>
          <w:tcPr>
            <w:tcW w:w="631"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r>
              <w:rPr>
                <w:rFonts w:hint="eastAsia" w:ascii="微软雅黑" w:hAnsi="微软雅黑" w:eastAsia="微软雅黑" w:cs="微软雅黑"/>
                <w:i w:val="0"/>
                <w:caps w:val="0"/>
                <w:color w:val="414141"/>
                <w:spacing w:val="0"/>
                <w:sz w:val="28"/>
                <w:szCs w:val="28"/>
                <w:bdr w:val="none" w:color="auto" w:sz="0" w:space="0"/>
                <w:shd w:val="clear" w:fill="FFFFFF"/>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r>
              <w:rPr>
                <w:rFonts w:hint="eastAsia" w:ascii="微软雅黑" w:hAnsi="微软雅黑" w:eastAsia="微软雅黑" w:cs="微软雅黑"/>
                <w:i w:val="0"/>
                <w:caps w:val="0"/>
                <w:color w:val="414141"/>
                <w:spacing w:val="0"/>
                <w:sz w:val="28"/>
                <w:szCs w:val="28"/>
                <w:bdr w:val="none" w:color="auto" w:sz="0" w:space="0"/>
                <w:shd w:val="clear" w:fill="FFFFFF"/>
              </w:rPr>
              <w:t>文化体育和旅游部门</w:t>
            </w:r>
          </w:p>
        </w:tc>
        <w:tc>
          <w:tcPr>
            <w:tcW w:w="93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■纸质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■信用中国（新疆·克州）</w:t>
            </w:r>
          </w:p>
        </w:tc>
        <w:tc>
          <w:tcPr>
            <w:tcW w:w="509"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39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393"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495"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63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1944"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2239" w:hRule="atLeast"/>
          <w:jc w:val="center"/>
        </w:trPr>
        <w:tc>
          <w:tcPr>
            <w:tcW w:w="1837" w:type="dxa"/>
            <w:tcBorders>
              <w:top w:val="nil"/>
              <w:left w:val="outset" w:color="000000" w:sz="8" w:space="0"/>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color w:val="000000"/>
                <w:sz w:val="28"/>
                <w:szCs w:val="28"/>
                <w:bdr w:val="none" w:color="auto" w:sz="0" w:space="0"/>
              </w:rPr>
              <w:t> 9</w:t>
            </w:r>
          </w:p>
        </w:tc>
        <w:tc>
          <w:tcPr>
            <w:tcW w:w="1608" w:type="dxa"/>
            <w:tcBorders>
              <w:top w:val="nil"/>
              <w:left w:val="nil"/>
              <w:bottom w:val="single" w:color="auto"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公共服务</w:t>
            </w:r>
          </w:p>
        </w:tc>
        <w:tc>
          <w:tcPr>
            <w:tcW w:w="602"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广播电视基本公共服务标准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 </w:t>
            </w:r>
          </w:p>
        </w:tc>
        <w:tc>
          <w:tcPr>
            <w:tcW w:w="1150"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1.国家基本公共服务标准；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2.地方具体实施配套标准；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3.市县标准化目录。</w:t>
            </w:r>
          </w:p>
        </w:tc>
        <w:tc>
          <w:tcPr>
            <w:tcW w:w="106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《关于印发＜国家基本公共服务标准（2021 年版）＞的通知》</w:t>
            </w:r>
          </w:p>
        </w:tc>
        <w:tc>
          <w:tcPr>
            <w:tcW w:w="631"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r>
              <w:rPr>
                <w:rFonts w:hint="eastAsia" w:ascii="微软雅黑" w:hAnsi="微软雅黑" w:eastAsia="微软雅黑" w:cs="微软雅黑"/>
                <w:i w:val="0"/>
                <w:caps w:val="0"/>
                <w:color w:val="414141"/>
                <w:spacing w:val="0"/>
                <w:sz w:val="28"/>
                <w:szCs w:val="28"/>
                <w:bdr w:val="none" w:color="auto" w:sz="0" w:space="0"/>
                <w:shd w:val="clear" w:fill="FFFFFF"/>
              </w:rPr>
              <w:t>信息形成或变更之日起20个工作日内公开</w:t>
            </w:r>
          </w:p>
        </w:tc>
        <w:tc>
          <w:tcPr>
            <w:tcW w:w="532"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r>
              <w:rPr>
                <w:rFonts w:hint="eastAsia" w:ascii="微软雅黑" w:hAnsi="微软雅黑" w:eastAsia="微软雅黑" w:cs="微软雅黑"/>
                <w:i w:val="0"/>
                <w:caps w:val="0"/>
                <w:color w:val="414141"/>
                <w:spacing w:val="0"/>
                <w:sz w:val="28"/>
                <w:szCs w:val="28"/>
                <w:bdr w:val="none" w:color="auto" w:sz="0" w:space="0"/>
                <w:shd w:val="clear" w:fill="FFFFFF"/>
              </w:rPr>
              <w:t>广播电视部门</w:t>
            </w:r>
          </w:p>
        </w:tc>
        <w:tc>
          <w:tcPr>
            <w:tcW w:w="93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■政府网站 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■纸质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■公示栏</w:t>
            </w:r>
          </w:p>
        </w:tc>
        <w:tc>
          <w:tcPr>
            <w:tcW w:w="509"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396"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393"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495"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rPr>
              <w:t> </w:t>
            </w:r>
          </w:p>
        </w:tc>
        <w:tc>
          <w:tcPr>
            <w:tcW w:w="638" w:type="dxa"/>
            <w:tcBorders>
              <w:top w:val="nil"/>
              <w:left w:val="nil"/>
              <w:bottom w:val="outset" w:color="000000" w:sz="8" w:space="0"/>
              <w:right w:val="out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sz w:val="28"/>
                <w:szCs w:val="28"/>
                <w:bdr w:val="none" w:color="auto" w:sz="0" w:space="0"/>
                <w:shd w:val="clear" w:fill="FFFFFF"/>
              </w:rPr>
              <w:t>√</w:t>
            </w:r>
            <w:r>
              <w:rPr>
                <w:rFonts w:hint="eastAsia" w:ascii="微软雅黑" w:hAnsi="微软雅黑" w:eastAsia="微软雅黑" w:cs="微软雅黑"/>
                <w:i w:val="0"/>
                <w:caps w:val="0"/>
                <w:color w:val="414141"/>
                <w:spacing w:val="0"/>
                <w:sz w:val="28"/>
                <w:szCs w:val="28"/>
                <w:bdr w:val="none" w:color="auto" w:sz="0" w:space="0"/>
              </w:rPr>
              <w:t> </w:t>
            </w:r>
          </w:p>
        </w:tc>
        <w:tc>
          <w:tcPr>
            <w:tcW w:w="1944" w:type="dxa"/>
            <w:tcBorders>
              <w:top w:val="nil"/>
              <w:left w:val="nil"/>
              <w:bottom w:val="outset" w:color="000000" w:sz="8" w:space="0"/>
              <w:right w:val="outset"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414141"/>
                <w:spacing w:val="0"/>
                <w:kern w:val="0"/>
                <w:sz w:val="28"/>
                <w:szCs w:val="28"/>
                <w:bdr w:val="none" w:color="auto" w:sz="0" w:space="0"/>
                <w:shd w:val="clear" w:fill="FFFFFF"/>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hint="eastAsia" w:ascii="微软雅黑" w:hAnsi="微软雅黑" w:eastAsia="微软雅黑" w:cs="微软雅黑"/>
          <w:i w:val="0"/>
          <w:caps w:val="0"/>
          <w:color w:val="414141"/>
          <w:spacing w:val="0"/>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5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2025-02-19T05:23:09Z</dcterms:created>
  <dc:creator>Administrator</dc:creator>
  <cp:lastModifiedBy>Administrator</cp:lastModifiedBy>
  <dcterms:modified xsi:type="dcterms:W3CDTF">2025-02-19T05:24:00Z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