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77D01">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856" w:firstLineChars="200"/>
        <w:jc w:val="center"/>
        <w:textAlignment w:val="auto"/>
        <w:rPr>
          <w:rFonts w:hint="eastAsia" w:ascii="微软雅黑" w:hAnsi="微软雅黑" w:eastAsia="微软雅黑" w:cs="微软雅黑"/>
          <w:color w:val="auto"/>
          <w:sz w:val="44"/>
          <w:szCs w:val="44"/>
          <w:highlight w:val="none"/>
        </w:rPr>
      </w:pPr>
      <w:r>
        <w:rPr>
          <w:rFonts w:hint="eastAsia" w:ascii="微软雅黑" w:hAnsi="微软雅黑" w:eastAsia="微软雅黑" w:cs="微软雅黑"/>
          <w:color w:val="auto"/>
          <w:sz w:val="44"/>
          <w:szCs w:val="44"/>
          <w:highlight w:val="none"/>
        </w:rPr>
        <w:t>和布克赛尔蒙古自治县</w:t>
      </w:r>
    </w:p>
    <w:p w14:paraId="3081C002">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856" w:firstLineChars="200"/>
        <w:jc w:val="center"/>
        <w:textAlignment w:val="auto"/>
        <w:rPr>
          <w:rFonts w:hint="eastAsia" w:ascii="微软雅黑" w:hAnsi="微软雅黑" w:eastAsia="微软雅黑" w:cs="微软雅黑"/>
          <w:color w:val="auto"/>
          <w:sz w:val="44"/>
          <w:szCs w:val="44"/>
          <w:highlight w:val="none"/>
          <w:lang w:val="en-US" w:eastAsia="zh-CN"/>
        </w:rPr>
      </w:pPr>
      <w:r>
        <w:rPr>
          <w:rFonts w:hint="eastAsia" w:ascii="微软雅黑" w:hAnsi="微软雅黑" w:eastAsia="微软雅黑" w:cs="微软雅黑"/>
          <w:color w:val="auto"/>
          <w:sz w:val="44"/>
          <w:szCs w:val="44"/>
          <w:highlight w:val="none"/>
        </w:rPr>
        <w:t>烟草制品零售点合理布局规划</w:t>
      </w:r>
    </w:p>
    <w:p w14:paraId="0D1A6AF2">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856" w:firstLineChars="200"/>
        <w:jc w:val="center"/>
        <w:textAlignment w:val="auto"/>
        <w:rPr>
          <w:color w:val="auto"/>
          <w:sz w:val="32"/>
          <w:szCs w:val="32"/>
          <w:highlight w:val="none"/>
        </w:rPr>
      </w:pPr>
      <w:r>
        <w:rPr>
          <w:rFonts w:hint="eastAsia" w:ascii="微软雅黑" w:hAnsi="微软雅黑" w:eastAsia="微软雅黑" w:cs="微软雅黑"/>
          <w:color w:val="auto"/>
          <w:sz w:val="44"/>
          <w:szCs w:val="44"/>
          <w:highlight w:val="none"/>
        </w:rPr>
        <w:t>（</w:t>
      </w:r>
      <w:r>
        <w:rPr>
          <w:rFonts w:hint="default" w:ascii="微软雅黑" w:hAnsi="微软雅黑" w:eastAsia="微软雅黑" w:cs="微软雅黑"/>
          <w:color w:val="auto"/>
          <w:sz w:val="44"/>
          <w:szCs w:val="44"/>
          <w:highlight w:val="none"/>
          <w:lang w:val="en-US"/>
        </w:rPr>
        <w:t>2026</w:t>
      </w:r>
      <w:r>
        <w:rPr>
          <w:rFonts w:hint="eastAsia" w:ascii="微软雅黑" w:hAnsi="微软雅黑" w:eastAsia="微软雅黑" w:cs="微软雅黑"/>
          <w:color w:val="auto"/>
          <w:sz w:val="44"/>
          <w:szCs w:val="44"/>
          <w:highlight w:val="none"/>
          <w:lang w:val="en-US" w:eastAsia="zh-CN"/>
        </w:rPr>
        <w:t>--2031年</w:t>
      </w:r>
      <w:r>
        <w:rPr>
          <w:rFonts w:hint="eastAsia" w:ascii="微软雅黑" w:hAnsi="微软雅黑" w:eastAsia="微软雅黑" w:cs="微软雅黑"/>
          <w:color w:val="auto"/>
          <w:sz w:val="44"/>
          <w:szCs w:val="44"/>
          <w:highlight w:val="none"/>
        </w:rPr>
        <w:t>）</w:t>
      </w:r>
    </w:p>
    <w:p w14:paraId="51031C40">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color w:val="auto"/>
          <w:sz w:val="32"/>
          <w:szCs w:val="32"/>
          <w:highlight w:val="none"/>
        </w:rPr>
      </w:pPr>
      <w:r>
        <w:rPr>
          <w:color w:val="auto"/>
          <w:sz w:val="32"/>
          <w:szCs w:val="32"/>
          <w:highlight w:val="none"/>
        </w:rPr>
        <w:t>第一章　总则</w:t>
      </w:r>
    </w:p>
    <w:p w14:paraId="11D1B3AB">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i w:val="0"/>
          <w:color w:val="auto"/>
          <w:sz w:val="32"/>
          <w:szCs w:val="32"/>
          <w:highlight w:val="none"/>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第一条</w:t>
      </w:r>
      <w:r>
        <w:rPr>
          <w:rFonts w:hint="eastAsia" w:ascii="CESI仿宋-GB2312" w:hAnsi="CESI仿宋-GB2312" w:eastAsia="CESI仿宋-GB2312" w:cs="CESI仿宋-GB2312"/>
          <w:i w:val="0"/>
          <w:color w:val="auto"/>
          <w:sz w:val="32"/>
          <w:szCs w:val="32"/>
          <w:highlight w:val="none"/>
        </w:rPr>
        <w:t>　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w:t>
      </w:r>
      <w:bookmarkStart w:id="0" w:name="_GoBack"/>
      <w:bookmarkEnd w:id="0"/>
      <w:r>
        <w:rPr>
          <w:rFonts w:hint="eastAsia" w:ascii="CESI仿宋-GB2312" w:hAnsi="CESI仿宋-GB2312" w:eastAsia="CESI仿宋-GB2312" w:cs="CESI仿宋-GB2312"/>
          <w:i w:val="0"/>
          <w:color w:val="auto"/>
          <w:sz w:val="32"/>
          <w:szCs w:val="32"/>
          <w:highlight w:val="none"/>
        </w:rPr>
        <w:t>细则》等法律法规、规章和规范性文件，结合本县实际，制定本规划。</w:t>
      </w:r>
    </w:p>
    <w:p w14:paraId="2E207CE1">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before="143" w:line="240" w:lineRule="auto"/>
        <w:ind w:right="108" w:rightChars="0" w:firstLine="616" w:firstLineChars="200"/>
        <w:jc w:val="left"/>
        <w:textAlignment w:val="baseline"/>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第二条</w:t>
      </w:r>
      <w:r>
        <w:rPr>
          <w:rFonts w:hint="eastAsia" w:ascii="CESI仿宋-GB2312" w:hAnsi="CESI仿宋-GB2312" w:eastAsia="CESI仿宋-GB2312" w:cs="CESI仿宋-GB2312"/>
          <w:i w:val="0"/>
          <w:color w:val="auto"/>
          <w:sz w:val="32"/>
          <w:szCs w:val="32"/>
          <w:highlight w:val="none"/>
        </w:rPr>
        <w:t>　本规划遵循依法行政、科学规划、服务社会、均衡发展的原则。</w:t>
      </w:r>
    </w:p>
    <w:p w14:paraId="3F8320AD">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第三条</w:t>
      </w:r>
      <w:r>
        <w:rPr>
          <w:rFonts w:hint="eastAsia" w:ascii="CESI仿宋-GB2312" w:hAnsi="CESI仿宋-GB2312" w:eastAsia="CESI仿宋-GB2312" w:cs="CESI仿宋-GB2312"/>
          <w:i w:val="0"/>
          <w:color w:val="auto"/>
          <w:sz w:val="32"/>
          <w:szCs w:val="32"/>
          <w:highlight w:val="none"/>
        </w:rPr>
        <w:t>　本规划适用于</w:t>
      </w:r>
      <w:r>
        <w:rPr>
          <w:rFonts w:hint="eastAsia" w:ascii="CESI仿宋-GB2312" w:hAnsi="CESI仿宋-GB2312" w:eastAsia="CESI仿宋-GB2312" w:cs="CESI仿宋-GB2312"/>
          <w:i w:val="0"/>
          <w:color w:val="auto"/>
          <w:sz w:val="32"/>
          <w:szCs w:val="32"/>
          <w:highlight w:val="none"/>
          <w:lang w:eastAsia="zh-CN"/>
        </w:rPr>
        <w:t>和布克赛尔蒙古自治县</w:t>
      </w:r>
      <w:r>
        <w:rPr>
          <w:rFonts w:hint="eastAsia" w:ascii="CESI仿宋-GB2312" w:hAnsi="CESI仿宋-GB2312" w:eastAsia="CESI仿宋-GB2312" w:cs="CESI仿宋-GB2312"/>
          <w:i w:val="0"/>
          <w:color w:val="auto"/>
          <w:sz w:val="32"/>
          <w:szCs w:val="32"/>
          <w:highlight w:val="none"/>
        </w:rPr>
        <w:t>全域及</w:t>
      </w:r>
      <w:r>
        <w:rPr>
          <w:rFonts w:hint="eastAsia" w:ascii="CESI仿宋-GB2312" w:hAnsi="CESI仿宋-GB2312" w:eastAsia="CESI仿宋-GB2312" w:cs="CESI仿宋-GB2312"/>
          <w:i w:val="0"/>
          <w:color w:val="auto"/>
          <w:sz w:val="32"/>
          <w:szCs w:val="32"/>
          <w:highlight w:val="none"/>
          <w:lang w:eastAsia="zh-CN"/>
        </w:rPr>
        <w:t>第七师</w:t>
      </w:r>
      <w:r>
        <w:rPr>
          <w:rFonts w:hint="eastAsia" w:ascii="CESI仿宋-GB2312" w:hAnsi="CESI仿宋-GB2312" w:eastAsia="CESI仿宋-GB2312" w:cs="CESI仿宋-GB2312"/>
          <w:i w:val="0"/>
          <w:color w:val="auto"/>
          <w:sz w:val="32"/>
          <w:szCs w:val="32"/>
          <w:highlight w:val="none"/>
          <w:lang w:val="en-US" w:eastAsia="zh-CN"/>
        </w:rPr>
        <w:t>137团、第十师184团等</w:t>
      </w:r>
      <w:r>
        <w:rPr>
          <w:rFonts w:hint="eastAsia" w:ascii="CESI仿宋-GB2312" w:hAnsi="CESI仿宋-GB2312" w:eastAsia="CESI仿宋-GB2312" w:cs="CESI仿宋-GB2312"/>
          <w:i w:val="0"/>
          <w:color w:val="auto"/>
          <w:sz w:val="32"/>
          <w:szCs w:val="32"/>
          <w:highlight w:val="none"/>
        </w:rPr>
        <w:t>纳入属地协同管理的部分区域范围内烟草制品零售点的设置与管理。电子烟零售点布局按照《新疆维吾尔自治区电子烟零售点布局规划》执行。</w:t>
      </w:r>
    </w:p>
    <w:p w14:paraId="642F789F">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第四条</w:t>
      </w:r>
      <w:r>
        <w:rPr>
          <w:rFonts w:hint="eastAsia" w:ascii="CESI仿宋-GB2312" w:hAnsi="CESI仿宋-GB2312" w:eastAsia="CESI仿宋-GB2312" w:cs="CESI仿宋-GB2312"/>
          <w:i w:val="0"/>
          <w:color w:val="auto"/>
          <w:sz w:val="32"/>
          <w:szCs w:val="32"/>
          <w:highlight w:val="none"/>
        </w:rPr>
        <w:t>　本规划所称烟草制品零售点（以下简称</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rPr>
        <w:t>零售</w:t>
      </w:r>
      <w:r>
        <w:rPr>
          <w:rFonts w:hint="eastAsia" w:ascii="CESI仿宋-GB2312" w:hAnsi="CESI仿宋-GB2312" w:eastAsia="CESI仿宋-GB2312" w:cs="CESI仿宋-GB2312"/>
          <w:i w:val="0"/>
          <w:color w:val="auto"/>
          <w:sz w:val="32"/>
          <w:szCs w:val="32"/>
          <w:highlight w:val="none"/>
          <w:lang w:eastAsia="zh-CN"/>
        </w:rPr>
        <w:t>点</w:t>
      </w:r>
      <w:r>
        <w:rPr>
          <w:rFonts w:hint="eastAsia" w:ascii="CESI仿宋-GB2312" w:hAnsi="CESI仿宋-GB2312" w:eastAsia="CESI仿宋-GB2312" w:cs="CESI仿宋-GB2312"/>
          <w:i w:val="0"/>
          <w:color w:val="auto"/>
          <w:sz w:val="32"/>
          <w:szCs w:val="32"/>
          <w:highlight w:val="none"/>
          <w:lang w:val="en-US" w:eastAsia="zh-CN"/>
        </w:rPr>
        <w:t>”</w:t>
      </w:r>
      <w:r>
        <w:rPr>
          <w:rFonts w:hint="eastAsia" w:ascii="CESI仿宋-GB2312" w:hAnsi="CESI仿宋-GB2312" w:eastAsia="CESI仿宋-GB2312" w:cs="CESI仿宋-GB2312"/>
          <w:i w:val="0"/>
          <w:color w:val="auto"/>
          <w:sz w:val="32"/>
          <w:szCs w:val="32"/>
          <w:highlight w:val="none"/>
          <w:lang w:eastAsia="zh-CN"/>
        </w:rPr>
        <w:t>）是指依法取得烟草专卖零售许可证从事烟草制品零售业务的公民</w:t>
      </w:r>
      <w:r>
        <w:rPr>
          <w:rFonts w:hint="eastAsia" w:ascii="CESI仿宋-GB2312" w:hAnsi="CESI仿宋-GB2312" w:eastAsia="CESI仿宋-GB2312" w:cs="CESI仿宋-GB2312"/>
          <w:i w:val="0"/>
          <w:color w:val="auto"/>
          <w:sz w:val="32"/>
          <w:szCs w:val="32"/>
          <w:highlight w:val="none"/>
        </w:rPr>
        <w:t>、法人及其他组织开展烟草制品零售业务的经营场所。烟草制品是指卷烟、雪茄烟。</w:t>
      </w:r>
    </w:p>
    <w:p w14:paraId="4CB9FF5F">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color w:val="auto"/>
          <w:sz w:val="32"/>
          <w:szCs w:val="32"/>
          <w:highlight w:val="none"/>
        </w:rPr>
      </w:pPr>
      <w:r>
        <w:rPr>
          <w:color w:val="auto"/>
          <w:sz w:val="32"/>
          <w:szCs w:val="32"/>
          <w:highlight w:val="none"/>
        </w:rPr>
        <w:t>第二章　网格划分和布局标准</w:t>
      </w:r>
    </w:p>
    <w:p w14:paraId="34B78B3E">
      <w:pPr>
        <w:keepNext w:val="0"/>
        <w:keepLines w:val="0"/>
        <w:pageBreakBefore w:val="0"/>
        <w:wordWrap/>
        <w:overflowPunct/>
        <w:topLinePunct w:val="0"/>
        <w:bidi w:val="0"/>
        <w:spacing w:line="240" w:lineRule="auto"/>
        <w:ind w:firstLine="645"/>
        <w:jc w:val="left"/>
        <w:rPr>
          <w:rFonts w:hint="eastAsia" w:ascii="CESI仿宋-GB2312" w:hAnsi="CESI仿宋-GB2312" w:eastAsia="CESI仿宋-GB2312" w:cs="CESI仿宋-GB2312"/>
          <w:i w:val="0"/>
          <w:snapToGrid w:val="0"/>
          <w:color w:val="auto"/>
          <w:spacing w:val="-6"/>
          <w:kern w:val="0"/>
          <w:sz w:val="32"/>
          <w:szCs w:val="32"/>
          <w:highlight w:val="none"/>
          <w:lang w:val="en-US" w:eastAsia="en-US" w:bidi="ar-SA"/>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第五条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为了合理满足消费需求、防止过度竞争、优化经营环境，确保零售点数量与市场相协调，本辖区烟草制品零售点布局采用组合运用</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数</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量、间隔距离的布局模式，以较为稳定、相对独立的区域为单元网格，根据实际情况，设置两级网格。</w:t>
      </w:r>
    </w:p>
    <w:p w14:paraId="4D43BEF1">
      <w:pPr>
        <w:keepNext w:val="0"/>
        <w:keepLines w:val="0"/>
        <w:pageBreakBefore w:val="0"/>
        <w:wordWrap/>
        <w:overflowPunct/>
        <w:topLinePunct w:val="0"/>
        <w:bidi w:val="0"/>
        <w:spacing w:line="240" w:lineRule="auto"/>
        <w:ind w:firstLine="645"/>
        <w:jc w:val="left"/>
        <w:rPr>
          <w:rFonts w:hint="eastAsia" w:ascii="CESI仿宋-GB2312" w:hAnsi="CESI仿宋-GB2312" w:eastAsia="CESI仿宋-GB2312" w:cs="CESI仿宋-GB2312"/>
          <w:i w:val="0"/>
          <w:snapToGrid w:val="0"/>
          <w:color w:val="auto"/>
          <w:spacing w:val="-6"/>
          <w:kern w:val="0"/>
          <w:sz w:val="32"/>
          <w:szCs w:val="32"/>
          <w:highlight w:val="none"/>
          <w:lang w:val="en-US" w:eastAsia="en-US"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一级网格按行政区划及经济发展水平划分为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社区、行政（自然）村（连队）、特殊区域</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网格。</w:t>
      </w:r>
    </w:p>
    <w:p w14:paraId="04815FAC">
      <w:pPr>
        <w:keepNext w:val="0"/>
        <w:keepLines w:val="0"/>
        <w:pageBreakBefore w:val="0"/>
        <w:wordWrap/>
        <w:overflowPunct/>
        <w:topLinePunct w:val="0"/>
        <w:bidi w:val="0"/>
        <w:spacing w:line="240" w:lineRule="auto"/>
        <w:ind w:firstLine="645"/>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社区网格</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按照位置相邻、属性相同原则划分为居民</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聚居</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区、居民小区、商住区、商业区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p>
    <w:p w14:paraId="3817C7E0">
      <w:pPr>
        <w:keepNext w:val="0"/>
        <w:keepLines w:val="0"/>
        <w:pageBreakBefore w:val="0"/>
        <w:wordWrap/>
        <w:overflowPunct/>
        <w:topLinePunct w:val="0"/>
        <w:bidi w:val="0"/>
        <w:spacing w:line="240" w:lineRule="auto"/>
        <w:ind w:firstLine="645"/>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行政（自然）村（连队）网格划分按照行政归属划分为行政（自然）村、连队。以人口数量为基础数据，确定网格内零售点预设数量。</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镇（团）</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、乡级</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行政中心</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按所在地归入此类网格划分标准。</w:t>
      </w:r>
    </w:p>
    <w:p w14:paraId="18A49687">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特殊区域按照独特市场生态、特定消费人群划分为旅游景区，</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公路服务区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生产制造</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、工矿企业、油田作业区的生活聚居区，在建工程项目生活区，</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火车站、汽车站</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，军管区、警管区（即军事单位、监狱、拘留所、看守所、戒毒所等特殊区域)，</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集贸区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、物流园。</w:t>
      </w:r>
    </w:p>
    <w:p w14:paraId="11361AF9">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依据区域经济发展情况和社会发展水平，以各</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区域</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住户数</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、门店数量、商户数量</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为基础数据，确定二级网格内烟草制品零售点数量、间距设置标准，实行零售点总量控制。具体划分为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p>
    <w:p w14:paraId="6EFBE1DC">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（一）居民聚居区。</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指开放式的多个居民小区或平房、别墅混合的住宅区域，未设有围墙、围栏等物理隔离，未形成围合结构</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的</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居民聚集区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p>
    <w:p w14:paraId="6933352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（二）居民小区。</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指设有围墙、围栏等物理隔离，形成围合结构，使小区与周边地带相隔离，进行封闭式管理的小区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,包含沿街门面。</w:t>
      </w:r>
    </w:p>
    <w:p w14:paraId="7FB0DB73">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（三）商住区。主要指满足消费者多元化消费商业区与住宅小区的混合区域。</w:t>
      </w:r>
    </w:p>
    <w:p w14:paraId="2D1AEED5">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val="0"/>
          <w:bCs/>
          <w:i w:val="0"/>
          <w:color w:val="auto"/>
          <w:sz w:val="32"/>
          <w:szCs w:val="32"/>
          <w:highlight w:val="none"/>
          <w:lang w:eastAsia="zh-CN"/>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（四）</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商业区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即酒店、餐饮，休闲、购物、娱乐等为一体，满足消费多样化的商业</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聚集区。</w:t>
      </w:r>
    </w:p>
    <w:p w14:paraId="100DFD41">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第六条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color w:val="auto"/>
          <w:sz w:val="32"/>
          <w:szCs w:val="32"/>
          <w:highlight w:val="none"/>
          <w:lang w:eastAsia="zh-CN"/>
        </w:rPr>
        <w:t>零售点预设标准</w:t>
      </w:r>
      <w:r>
        <w:rPr>
          <w:rFonts w:hint="eastAsia" w:ascii="CESI仿宋-GB2312" w:hAnsi="CESI仿宋-GB2312" w:eastAsia="CESI仿宋-GB2312" w:cs="CESI仿宋-GB2312"/>
          <w:i w:val="0"/>
          <w:color w:val="auto"/>
          <w:sz w:val="32"/>
          <w:szCs w:val="32"/>
          <w:highlight w:val="none"/>
        </w:rPr>
        <w:t>：</w:t>
      </w:r>
    </w:p>
    <w:p w14:paraId="43322CCD">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rPr>
        <w:t>（一）</w:t>
      </w:r>
      <w:r>
        <w:rPr>
          <w:rFonts w:hint="eastAsia" w:ascii="CESI仿宋-GB2312" w:hAnsi="CESI仿宋-GB2312" w:eastAsia="CESI仿宋-GB2312" w:cs="CESI仿宋-GB2312"/>
          <w:i w:val="0"/>
          <w:color w:val="auto"/>
          <w:sz w:val="32"/>
          <w:szCs w:val="32"/>
          <w:highlight w:val="none"/>
          <w:lang w:eastAsia="zh-CN"/>
        </w:rPr>
        <w:t>居民聚居区</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eastAsia="zh-CN"/>
        </w:rPr>
        <w:t>居民聚居区</w:t>
      </w:r>
      <w:r>
        <w:rPr>
          <w:rFonts w:hint="eastAsia" w:ascii="CESI仿宋-GB2312" w:hAnsi="CESI仿宋-GB2312" w:eastAsia="CESI仿宋-GB2312" w:cs="CESI仿宋-GB2312"/>
          <w:i w:val="0"/>
          <w:color w:val="auto"/>
          <w:sz w:val="32"/>
          <w:szCs w:val="32"/>
          <w:highlight w:val="none"/>
        </w:rPr>
        <w:t>内零售点按照网格内住户数量设置，</w:t>
      </w:r>
      <w:r>
        <w:rPr>
          <w:rFonts w:hint="eastAsia" w:ascii="CESI仿宋-GB2312" w:hAnsi="CESI仿宋-GB2312" w:eastAsia="CESI仿宋-GB2312" w:cs="CESI仿宋-GB2312"/>
          <w:i w:val="0"/>
          <w:color w:val="auto"/>
          <w:sz w:val="32"/>
          <w:szCs w:val="32"/>
          <w:highlight w:val="none"/>
          <w:lang w:eastAsia="zh-CN"/>
        </w:rPr>
        <w:t>每</w:t>
      </w:r>
      <w:r>
        <w:rPr>
          <w:rFonts w:hint="eastAsia" w:ascii="CESI仿宋-GB2312" w:hAnsi="CESI仿宋-GB2312" w:eastAsia="CESI仿宋-GB2312" w:cs="CESI仿宋-GB2312"/>
          <w:i w:val="0"/>
          <w:color w:val="auto"/>
          <w:sz w:val="32"/>
          <w:szCs w:val="32"/>
          <w:highlight w:val="none"/>
          <w:lang w:val="en-US" w:eastAsia="zh-CN"/>
        </w:rPr>
        <w:t>100户</w:t>
      </w:r>
      <w:r>
        <w:rPr>
          <w:rFonts w:hint="eastAsia" w:ascii="CESI仿宋-GB2312" w:hAnsi="CESI仿宋-GB2312" w:eastAsia="CESI仿宋-GB2312" w:cs="CESI仿宋-GB2312"/>
          <w:i w:val="0"/>
          <w:color w:val="auto"/>
          <w:sz w:val="32"/>
          <w:szCs w:val="32"/>
          <w:highlight w:val="none"/>
        </w:rPr>
        <w:t>设置1个零售点，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100户的可设置1个零售点，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rPr>
        <w:t>200户的，视情况设置不超过2个零售点；200户以上的每增加100户增设1个零售点</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rPr>
        <w:t>最多</w:t>
      </w:r>
      <w:r>
        <w:rPr>
          <w:rFonts w:hint="eastAsia" w:ascii="CESI仿宋-GB2312" w:hAnsi="CESI仿宋-GB2312" w:eastAsia="CESI仿宋-GB2312" w:cs="CESI仿宋-GB2312"/>
          <w:i w:val="0"/>
          <w:color w:val="auto"/>
          <w:sz w:val="32"/>
          <w:szCs w:val="32"/>
          <w:highlight w:val="none"/>
          <w:lang w:val="en-US" w:eastAsia="zh-CN"/>
        </w:rPr>
        <w:t>设置</w:t>
      </w:r>
      <w:r>
        <w:rPr>
          <w:rFonts w:hint="eastAsia" w:ascii="CESI仿宋-GB2312" w:hAnsi="CESI仿宋-GB2312" w:eastAsia="CESI仿宋-GB2312" w:cs="CESI仿宋-GB2312"/>
          <w:i w:val="0"/>
          <w:color w:val="auto"/>
          <w:sz w:val="32"/>
          <w:szCs w:val="32"/>
          <w:highlight w:val="none"/>
        </w:rPr>
        <w:t>不超过10个</w:t>
      </w:r>
      <w:r>
        <w:rPr>
          <w:rFonts w:hint="eastAsia" w:ascii="CESI仿宋-GB2312" w:hAnsi="CESI仿宋-GB2312" w:eastAsia="CESI仿宋-GB2312" w:cs="CESI仿宋-GB2312"/>
          <w:i w:val="0"/>
          <w:color w:val="auto"/>
          <w:sz w:val="32"/>
          <w:szCs w:val="32"/>
          <w:highlight w:val="none"/>
          <w:lang w:val="en-US" w:eastAsia="zh-CN"/>
        </w:rPr>
        <w:t>零售点</w:t>
      </w: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rPr>
        <w:t>米。</w:t>
      </w:r>
    </w:p>
    <w:p w14:paraId="3789BBAD">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rPr>
        <w:t>（二）居民小区零售点设置标准。居民小区网格按照住户数量每150户设置</w:t>
      </w:r>
      <w:r>
        <w:rPr>
          <w:rFonts w:hint="eastAsia" w:ascii="CESI仿宋-GB2312" w:hAnsi="CESI仿宋-GB2312" w:eastAsia="CESI仿宋-GB2312" w:cs="CESI仿宋-GB2312"/>
          <w:i w:val="0"/>
          <w:color w:val="auto"/>
          <w:sz w:val="32"/>
          <w:szCs w:val="32"/>
          <w:highlight w:val="none"/>
          <w:lang w:val="en-US" w:eastAsia="zh-CN"/>
        </w:rPr>
        <w:t>1</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150户的可设置1个零售点，</w:t>
      </w:r>
      <w:r>
        <w:rPr>
          <w:rFonts w:hint="eastAsia" w:ascii="CESI仿宋-GB2312" w:hAnsi="CESI仿宋-GB2312" w:eastAsia="CESI仿宋-GB2312" w:cs="CESI仿宋-GB2312"/>
          <w:i w:val="0"/>
          <w:color w:val="auto"/>
          <w:sz w:val="32"/>
          <w:szCs w:val="32"/>
          <w:highlight w:val="none"/>
        </w:rPr>
        <w:t>不</w:t>
      </w:r>
      <w:r>
        <w:rPr>
          <w:rFonts w:hint="eastAsia" w:ascii="CESI仿宋-GB2312" w:hAnsi="CESI仿宋-GB2312" w:eastAsia="CESI仿宋-GB2312" w:cs="CESI仿宋-GB2312"/>
          <w:i w:val="0"/>
          <w:color w:val="auto"/>
          <w:sz w:val="32"/>
          <w:szCs w:val="32"/>
          <w:highlight w:val="none"/>
          <w:lang w:eastAsia="zh-CN"/>
        </w:rPr>
        <w:t>足</w:t>
      </w:r>
      <w:r>
        <w:rPr>
          <w:rFonts w:hint="eastAsia" w:ascii="CESI仿宋-GB2312" w:hAnsi="CESI仿宋-GB2312" w:eastAsia="CESI仿宋-GB2312" w:cs="CESI仿宋-GB2312"/>
          <w:i w:val="0"/>
          <w:color w:val="auto"/>
          <w:sz w:val="32"/>
          <w:szCs w:val="32"/>
          <w:highlight w:val="none"/>
        </w:rPr>
        <w:t>300户的，视情况设置不超过2个零售点；300户以上的，每增加150户增设1个零售点。</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30</w:t>
      </w:r>
      <w:r>
        <w:rPr>
          <w:rFonts w:hint="eastAsia" w:ascii="CESI仿宋-GB2312" w:hAnsi="CESI仿宋-GB2312" w:eastAsia="CESI仿宋-GB2312" w:cs="CESI仿宋-GB2312"/>
          <w:i w:val="0"/>
          <w:color w:val="auto"/>
          <w:sz w:val="32"/>
          <w:szCs w:val="32"/>
          <w:highlight w:val="none"/>
        </w:rPr>
        <w:t>米</w:t>
      </w:r>
      <w:r>
        <w:rPr>
          <w:rFonts w:hint="eastAsia" w:ascii="CESI仿宋-GB2312" w:hAnsi="CESI仿宋-GB2312" w:eastAsia="CESI仿宋-GB2312" w:cs="CESI仿宋-GB2312"/>
          <w:i w:val="0"/>
          <w:color w:val="auto"/>
          <w:sz w:val="32"/>
          <w:szCs w:val="32"/>
          <w:highlight w:val="none"/>
          <w:lang w:eastAsia="zh-CN"/>
        </w:rPr>
        <w:t>。</w:t>
      </w:r>
    </w:p>
    <w:p w14:paraId="0C1FC205">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rPr>
        <w:t>（三）</w:t>
      </w:r>
      <w:r>
        <w:rPr>
          <w:rFonts w:hint="eastAsia" w:ascii="CESI仿宋-GB2312" w:hAnsi="CESI仿宋-GB2312" w:eastAsia="CESI仿宋-GB2312" w:cs="CESI仿宋-GB2312"/>
          <w:i w:val="0"/>
          <w:color w:val="auto"/>
          <w:sz w:val="32"/>
          <w:szCs w:val="32"/>
          <w:highlight w:val="none"/>
          <w:lang w:eastAsia="zh-CN"/>
        </w:rPr>
        <w:t>商住区零售点设置标准。</w:t>
      </w:r>
      <w:r>
        <w:rPr>
          <w:rFonts w:hint="eastAsia" w:ascii="CESI仿宋-GB2312" w:hAnsi="CESI仿宋-GB2312" w:eastAsia="CESI仿宋-GB2312" w:cs="CESI仿宋-GB2312"/>
          <w:i w:val="0"/>
          <w:color w:val="auto"/>
          <w:sz w:val="32"/>
          <w:szCs w:val="32"/>
          <w:highlight w:val="none"/>
        </w:rPr>
        <w:t>按照</w:t>
      </w:r>
      <w:r>
        <w:rPr>
          <w:rFonts w:hint="eastAsia" w:ascii="CESI仿宋-GB2312" w:hAnsi="CESI仿宋-GB2312" w:eastAsia="CESI仿宋-GB2312" w:cs="CESI仿宋-GB2312"/>
          <w:i w:val="0"/>
          <w:color w:val="auto"/>
          <w:sz w:val="32"/>
          <w:szCs w:val="32"/>
          <w:highlight w:val="none"/>
          <w:lang w:eastAsia="zh-CN"/>
        </w:rPr>
        <w:t>商户</w:t>
      </w:r>
      <w:r>
        <w:rPr>
          <w:rFonts w:hint="eastAsia" w:ascii="CESI仿宋-GB2312" w:hAnsi="CESI仿宋-GB2312" w:eastAsia="CESI仿宋-GB2312" w:cs="CESI仿宋-GB2312"/>
          <w:i w:val="0"/>
          <w:color w:val="auto"/>
          <w:sz w:val="32"/>
          <w:szCs w:val="32"/>
          <w:highlight w:val="none"/>
          <w:lang w:val="en-US" w:eastAsia="zh-CN"/>
        </w:rPr>
        <w:t>、</w:t>
      </w:r>
      <w:r>
        <w:rPr>
          <w:rFonts w:hint="eastAsia" w:ascii="CESI仿宋-GB2312" w:hAnsi="CESI仿宋-GB2312" w:eastAsia="CESI仿宋-GB2312" w:cs="CESI仿宋-GB2312"/>
          <w:i w:val="0"/>
          <w:color w:val="auto"/>
          <w:sz w:val="32"/>
          <w:szCs w:val="32"/>
          <w:highlight w:val="none"/>
        </w:rPr>
        <w:t>住户</w:t>
      </w:r>
      <w:r>
        <w:rPr>
          <w:rFonts w:hint="eastAsia" w:ascii="CESI仿宋-GB2312" w:hAnsi="CESI仿宋-GB2312" w:eastAsia="CESI仿宋-GB2312" w:cs="CESI仿宋-GB2312"/>
          <w:i w:val="0"/>
          <w:color w:val="auto"/>
          <w:sz w:val="32"/>
          <w:szCs w:val="32"/>
          <w:highlight w:val="none"/>
          <w:lang w:eastAsia="zh-CN"/>
        </w:rPr>
        <w:t>合计</w:t>
      </w:r>
      <w:r>
        <w:rPr>
          <w:rFonts w:hint="eastAsia" w:ascii="CESI仿宋-GB2312" w:hAnsi="CESI仿宋-GB2312" w:eastAsia="CESI仿宋-GB2312" w:cs="CESI仿宋-GB2312"/>
          <w:i w:val="0"/>
          <w:color w:val="auto"/>
          <w:sz w:val="32"/>
          <w:szCs w:val="32"/>
          <w:highlight w:val="none"/>
        </w:rPr>
        <w:t>数量</w:t>
      </w:r>
      <w:r>
        <w:rPr>
          <w:rFonts w:hint="eastAsia" w:ascii="CESI仿宋-GB2312" w:hAnsi="CESI仿宋-GB2312" w:eastAsia="CESI仿宋-GB2312" w:cs="CESI仿宋-GB2312"/>
          <w:i w:val="0"/>
          <w:color w:val="auto"/>
          <w:sz w:val="32"/>
          <w:szCs w:val="32"/>
          <w:highlight w:val="none"/>
          <w:lang w:eastAsia="zh-CN"/>
        </w:rPr>
        <w:t>每</w:t>
      </w:r>
      <w:r>
        <w:rPr>
          <w:rFonts w:hint="eastAsia" w:ascii="CESI仿宋-GB2312" w:hAnsi="CESI仿宋-GB2312" w:eastAsia="CESI仿宋-GB2312" w:cs="CESI仿宋-GB2312"/>
          <w:i w:val="0"/>
          <w:color w:val="auto"/>
          <w:sz w:val="32"/>
          <w:szCs w:val="32"/>
          <w:highlight w:val="none"/>
          <w:lang w:val="en-US" w:eastAsia="zh-CN"/>
        </w:rPr>
        <w:t>100户</w:t>
      </w:r>
      <w:r>
        <w:rPr>
          <w:rFonts w:hint="eastAsia" w:ascii="CESI仿宋-GB2312" w:hAnsi="CESI仿宋-GB2312" w:eastAsia="CESI仿宋-GB2312" w:cs="CESI仿宋-GB2312"/>
          <w:i w:val="0"/>
          <w:color w:val="auto"/>
          <w:sz w:val="32"/>
          <w:szCs w:val="32"/>
          <w:highlight w:val="none"/>
          <w:lang w:eastAsia="zh-CN"/>
        </w:rPr>
        <w:t>设置1个零售点，不足</w:t>
      </w:r>
      <w:r>
        <w:rPr>
          <w:rFonts w:hint="eastAsia" w:ascii="CESI仿宋-GB2312" w:hAnsi="CESI仿宋-GB2312" w:eastAsia="CESI仿宋-GB2312" w:cs="CESI仿宋-GB2312"/>
          <w:i w:val="0"/>
          <w:color w:val="auto"/>
          <w:sz w:val="32"/>
          <w:szCs w:val="32"/>
          <w:highlight w:val="none"/>
          <w:lang w:val="en-US" w:eastAsia="zh-CN"/>
        </w:rPr>
        <w:t>100户的可设置1个零售点，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200户</w:t>
      </w:r>
      <w:r>
        <w:rPr>
          <w:rFonts w:hint="eastAsia" w:ascii="CESI仿宋-GB2312" w:hAnsi="CESI仿宋-GB2312" w:eastAsia="CESI仿宋-GB2312" w:cs="CESI仿宋-GB2312"/>
          <w:i w:val="0"/>
          <w:color w:val="auto"/>
          <w:sz w:val="32"/>
          <w:szCs w:val="32"/>
          <w:highlight w:val="none"/>
          <w:lang w:eastAsia="zh-CN"/>
        </w:rPr>
        <w:t>的，</w:t>
      </w:r>
      <w:r>
        <w:rPr>
          <w:rFonts w:hint="eastAsia" w:ascii="CESI仿宋-GB2312" w:hAnsi="CESI仿宋-GB2312" w:eastAsia="CESI仿宋-GB2312" w:cs="CESI仿宋-GB2312"/>
          <w:i w:val="0"/>
          <w:color w:val="auto"/>
          <w:sz w:val="32"/>
          <w:szCs w:val="32"/>
          <w:highlight w:val="none"/>
        </w:rPr>
        <w:t>视情况设置不超过2个零售点；</w:t>
      </w:r>
      <w:r>
        <w:rPr>
          <w:rFonts w:hint="eastAsia" w:ascii="CESI仿宋-GB2312" w:hAnsi="CESI仿宋-GB2312" w:eastAsia="CESI仿宋-GB2312" w:cs="CESI仿宋-GB2312"/>
          <w:i w:val="0"/>
          <w:color w:val="auto"/>
          <w:sz w:val="32"/>
          <w:szCs w:val="32"/>
          <w:highlight w:val="none"/>
          <w:lang w:val="en-US" w:eastAsia="zh-CN"/>
        </w:rPr>
        <w:t>200户</w:t>
      </w:r>
      <w:r>
        <w:rPr>
          <w:rFonts w:hint="eastAsia" w:ascii="CESI仿宋-GB2312" w:hAnsi="CESI仿宋-GB2312" w:eastAsia="CESI仿宋-GB2312" w:cs="CESI仿宋-GB2312"/>
          <w:i w:val="0"/>
          <w:color w:val="auto"/>
          <w:sz w:val="32"/>
          <w:szCs w:val="32"/>
          <w:highlight w:val="none"/>
          <w:lang w:eastAsia="zh-CN"/>
        </w:rPr>
        <w:t>以上的，每增加</w:t>
      </w:r>
      <w:r>
        <w:rPr>
          <w:rFonts w:hint="eastAsia" w:ascii="CESI仿宋-GB2312" w:hAnsi="CESI仿宋-GB2312" w:eastAsia="CESI仿宋-GB2312" w:cs="CESI仿宋-GB2312"/>
          <w:i w:val="0"/>
          <w:color w:val="auto"/>
          <w:sz w:val="32"/>
          <w:szCs w:val="32"/>
          <w:highlight w:val="none"/>
          <w:lang w:val="en-US" w:eastAsia="zh-CN"/>
        </w:rPr>
        <w:t>100户</w:t>
      </w:r>
      <w:r>
        <w:rPr>
          <w:rFonts w:hint="eastAsia" w:ascii="CESI仿宋-GB2312" w:hAnsi="CESI仿宋-GB2312" w:eastAsia="CESI仿宋-GB2312" w:cs="CESI仿宋-GB2312"/>
          <w:i w:val="0"/>
          <w:color w:val="auto"/>
          <w:sz w:val="32"/>
          <w:szCs w:val="32"/>
          <w:highlight w:val="none"/>
          <w:lang w:eastAsia="zh-CN"/>
        </w:rPr>
        <w:t>增设1个零售点。零售点间隔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30</w:t>
      </w:r>
      <w:r>
        <w:rPr>
          <w:rFonts w:hint="eastAsia" w:ascii="CESI仿宋-GB2312" w:hAnsi="CESI仿宋-GB2312" w:eastAsia="CESI仿宋-GB2312" w:cs="CESI仿宋-GB2312"/>
          <w:i w:val="0"/>
          <w:color w:val="auto"/>
          <w:sz w:val="32"/>
          <w:szCs w:val="32"/>
          <w:highlight w:val="none"/>
          <w:lang w:eastAsia="zh-CN"/>
        </w:rPr>
        <w:t>米。</w:t>
      </w:r>
    </w:p>
    <w:p w14:paraId="7329D29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eastAsia="zh-CN"/>
        </w:rPr>
        <w:t>四</w:t>
      </w:r>
      <w:r>
        <w:rPr>
          <w:rFonts w:hint="eastAsia" w:ascii="CESI仿宋-GB2312" w:hAnsi="CESI仿宋-GB2312" w:eastAsia="CESI仿宋-GB2312" w:cs="CESI仿宋-GB2312"/>
          <w:i w:val="0"/>
          <w:color w:val="auto"/>
          <w:sz w:val="32"/>
          <w:szCs w:val="32"/>
          <w:highlight w:val="none"/>
        </w:rPr>
        <w:t>）商业区零售点设置标准。按照固定门店</w:t>
      </w:r>
      <w:r>
        <w:rPr>
          <w:rFonts w:hint="eastAsia" w:ascii="CESI仿宋-GB2312" w:hAnsi="CESI仿宋-GB2312" w:eastAsia="CESI仿宋-GB2312" w:cs="CESI仿宋-GB2312"/>
          <w:i w:val="0"/>
          <w:color w:val="auto"/>
          <w:sz w:val="32"/>
          <w:szCs w:val="32"/>
          <w:highlight w:val="none"/>
          <w:lang w:eastAsia="zh-CN"/>
        </w:rPr>
        <w:t>数量</w:t>
      </w:r>
      <w:r>
        <w:rPr>
          <w:rFonts w:hint="eastAsia" w:ascii="CESI仿宋-GB2312" w:hAnsi="CESI仿宋-GB2312" w:eastAsia="CESI仿宋-GB2312" w:cs="CESI仿宋-GB2312"/>
          <w:i w:val="0"/>
          <w:color w:val="auto"/>
          <w:sz w:val="32"/>
          <w:szCs w:val="32"/>
          <w:highlight w:val="none"/>
        </w:rPr>
        <w:t>每</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rPr>
        <w:t>户设置</w:t>
      </w:r>
      <w:r>
        <w:rPr>
          <w:rFonts w:hint="eastAsia" w:ascii="CESI仿宋-GB2312" w:hAnsi="CESI仿宋-GB2312" w:eastAsia="CESI仿宋-GB2312" w:cs="CESI仿宋-GB2312"/>
          <w:i w:val="0"/>
          <w:color w:val="auto"/>
          <w:sz w:val="32"/>
          <w:szCs w:val="32"/>
          <w:highlight w:val="none"/>
          <w:lang w:val="en-US" w:eastAsia="zh-CN"/>
        </w:rPr>
        <w:t>1</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50户的可设置1个零售点，</w:t>
      </w:r>
      <w:r>
        <w:rPr>
          <w:rFonts w:hint="eastAsia" w:ascii="CESI仿宋-GB2312" w:hAnsi="CESI仿宋-GB2312" w:eastAsia="CESI仿宋-GB2312" w:cs="CESI仿宋-GB2312"/>
          <w:i w:val="0"/>
          <w:color w:val="auto"/>
          <w:sz w:val="32"/>
          <w:szCs w:val="32"/>
          <w:highlight w:val="none"/>
        </w:rPr>
        <w:t>不</w:t>
      </w:r>
      <w:r>
        <w:rPr>
          <w:rFonts w:hint="eastAsia" w:ascii="CESI仿宋-GB2312" w:hAnsi="CESI仿宋-GB2312" w:eastAsia="CESI仿宋-GB2312" w:cs="CESI仿宋-GB2312"/>
          <w:i w:val="0"/>
          <w:color w:val="auto"/>
          <w:sz w:val="32"/>
          <w:szCs w:val="32"/>
          <w:highlight w:val="none"/>
          <w:lang w:eastAsia="zh-CN"/>
        </w:rPr>
        <w:t>足</w:t>
      </w:r>
      <w:r>
        <w:rPr>
          <w:rFonts w:hint="eastAsia" w:ascii="CESI仿宋-GB2312" w:hAnsi="CESI仿宋-GB2312" w:eastAsia="CESI仿宋-GB2312" w:cs="CESI仿宋-GB2312"/>
          <w:i w:val="0"/>
          <w:color w:val="auto"/>
          <w:sz w:val="32"/>
          <w:szCs w:val="32"/>
          <w:highlight w:val="none"/>
          <w:lang w:val="en-US" w:eastAsia="zh-CN"/>
        </w:rPr>
        <w:t>100</w:t>
      </w:r>
      <w:r>
        <w:rPr>
          <w:rFonts w:hint="eastAsia" w:ascii="CESI仿宋-GB2312" w:hAnsi="CESI仿宋-GB2312" w:eastAsia="CESI仿宋-GB2312" w:cs="CESI仿宋-GB2312"/>
          <w:i w:val="0"/>
          <w:color w:val="auto"/>
          <w:sz w:val="32"/>
          <w:szCs w:val="32"/>
          <w:highlight w:val="none"/>
        </w:rPr>
        <w:t>户的，视情况设置不超过2个零售点；</w:t>
      </w:r>
      <w:r>
        <w:rPr>
          <w:rFonts w:hint="eastAsia" w:ascii="CESI仿宋-GB2312" w:hAnsi="CESI仿宋-GB2312" w:eastAsia="CESI仿宋-GB2312" w:cs="CESI仿宋-GB2312"/>
          <w:i w:val="0"/>
          <w:color w:val="auto"/>
          <w:sz w:val="32"/>
          <w:szCs w:val="32"/>
          <w:highlight w:val="none"/>
          <w:lang w:val="en-US" w:eastAsia="zh-CN"/>
        </w:rPr>
        <w:t>100户以上的每增加50户增设1个零售点，</w:t>
      </w:r>
      <w:r>
        <w:rPr>
          <w:rFonts w:hint="eastAsia" w:ascii="CESI仿宋-GB2312" w:hAnsi="CESI仿宋-GB2312" w:eastAsia="CESI仿宋-GB2312" w:cs="CESI仿宋-GB2312"/>
          <w:i w:val="0"/>
          <w:color w:val="auto"/>
          <w:sz w:val="32"/>
          <w:szCs w:val="32"/>
          <w:highlight w:val="none"/>
        </w:rPr>
        <w:t>最多设置不超过10个零售点。</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30</w:t>
      </w:r>
      <w:r>
        <w:rPr>
          <w:rFonts w:hint="eastAsia" w:ascii="CESI仿宋-GB2312" w:hAnsi="CESI仿宋-GB2312" w:eastAsia="CESI仿宋-GB2312" w:cs="CESI仿宋-GB2312"/>
          <w:i w:val="0"/>
          <w:color w:val="auto"/>
          <w:sz w:val="32"/>
          <w:szCs w:val="32"/>
          <w:highlight w:val="none"/>
        </w:rPr>
        <w:t>米。</w:t>
      </w:r>
    </w:p>
    <w:p w14:paraId="3D2AB167">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eastAsia="zh-CN"/>
        </w:rPr>
        <w:t>五</w:t>
      </w: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val="en-US" w:eastAsia="zh-CN"/>
        </w:rPr>
        <w:t>行政（自然）村（连队）</w:t>
      </w:r>
      <w:r>
        <w:rPr>
          <w:rFonts w:hint="eastAsia" w:ascii="CESI仿宋-GB2312" w:hAnsi="CESI仿宋-GB2312" w:eastAsia="CESI仿宋-GB2312" w:cs="CESI仿宋-GB2312"/>
          <w:i w:val="0"/>
          <w:color w:val="auto"/>
          <w:sz w:val="32"/>
          <w:szCs w:val="32"/>
          <w:highlight w:val="none"/>
        </w:rPr>
        <w:t>零售点设置标准。村组（连队）网格按照</w:t>
      </w:r>
      <w:r>
        <w:rPr>
          <w:rFonts w:hint="eastAsia" w:ascii="CESI仿宋-GB2312" w:hAnsi="CESI仿宋-GB2312" w:eastAsia="CESI仿宋-GB2312" w:cs="CESI仿宋-GB2312"/>
          <w:i w:val="0"/>
          <w:color w:val="auto"/>
          <w:sz w:val="32"/>
          <w:szCs w:val="32"/>
          <w:highlight w:val="none"/>
          <w:lang w:eastAsia="zh-CN"/>
        </w:rPr>
        <w:t>户籍人口数量</w:t>
      </w:r>
      <w:r>
        <w:rPr>
          <w:rFonts w:hint="eastAsia" w:ascii="CESI仿宋-GB2312" w:hAnsi="CESI仿宋-GB2312" w:eastAsia="CESI仿宋-GB2312" w:cs="CESI仿宋-GB2312"/>
          <w:i w:val="0"/>
          <w:color w:val="auto"/>
          <w:sz w:val="32"/>
          <w:szCs w:val="32"/>
          <w:highlight w:val="none"/>
        </w:rPr>
        <w:t>每300人口设置</w:t>
      </w:r>
      <w:r>
        <w:rPr>
          <w:rFonts w:hint="eastAsia" w:ascii="CESI仿宋-GB2312" w:hAnsi="CESI仿宋-GB2312" w:eastAsia="CESI仿宋-GB2312" w:cs="CESI仿宋-GB2312"/>
          <w:i w:val="0"/>
          <w:color w:val="auto"/>
          <w:sz w:val="32"/>
          <w:szCs w:val="32"/>
          <w:highlight w:val="none"/>
          <w:lang w:val="en-US" w:eastAsia="zh-CN"/>
        </w:rPr>
        <w:t>1</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300人口的可设置1个零售点，</w:t>
      </w:r>
      <w:r>
        <w:rPr>
          <w:rFonts w:hint="eastAsia" w:ascii="CESI仿宋-GB2312" w:hAnsi="CESI仿宋-GB2312" w:eastAsia="CESI仿宋-GB2312" w:cs="CESI仿宋-GB2312"/>
          <w:i w:val="0"/>
          <w:color w:val="auto"/>
          <w:sz w:val="32"/>
          <w:szCs w:val="32"/>
          <w:highlight w:val="none"/>
        </w:rPr>
        <w:t>不足600人口的，</w:t>
      </w:r>
      <w:r>
        <w:rPr>
          <w:rFonts w:hint="eastAsia" w:ascii="CESI仿宋-GB2312" w:hAnsi="CESI仿宋-GB2312" w:eastAsia="CESI仿宋-GB2312" w:cs="CESI仿宋-GB2312"/>
          <w:i w:val="0"/>
          <w:color w:val="auto"/>
          <w:sz w:val="32"/>
          <w:szCs w:val="32"/>
          <w:highlight w:val="none"/>
          <w:lang w:eastAsia="zh-CN"/>
        </w:rPr>
        <w:t>可</w:t>
      </w:r>
      <w:r>
        <w:rPr>
          <w:rFonts w:hint="eastAsia" w:ascii="CESI仿宋-GB2312" w:hAnsi="CESI仿宋-GB2312" w:eastAsia="CESI仿宋-GB2312" w:cs="CESI仿宋-GB2312"/>
          <w:i w:val="0"/>
          <w:color w:val="auto"/>
          <w:sz w:val="32"/>
          <w:szCs w:val="32"/>
          <w:highlight w:val="none"/>
        </w:rPr>
        <w:t>设置不超过2个零售点；600人口以上的，每增加300人口增设1个零售点，最多不超过10个。</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rPr>
        <w:t>米</w:t>
      </w:r>
      <w:r>
        <w:rPr>
          <w:rFonts w:hint="eastAsia" w:ascii="CESI仿宋-GB2312" w:hAnsi="CESI仿宋-GB2312" w:eastAsia="CESI仿宋-GB2312" w:cs="CESI仿宋-GB2312"/>
          <w:i w:val="0"/>
          <w:color w:val="auto"/>
          <w:sz w:val="32"/>
          <w:szCs w:val="32"/>
          <w:highlight w:val="none"/>
          <w:lang w:eastAsia="zh-CN"/>
        </w:rPr>
        <w:t>。</w:t>
      </w:r>
    </w:p>
    <w:p w14:paraId="6163ADE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eastAsia="zh-CN"/>
        </w:rPr>
        <w:t>六</w:t>
      </w:r>
      <w:r>
        <w:rPr>
          <w:rFonts w:hint="eastAsia" w:ascii="CESI仿宋-GB2312" w:hAnsi="CESI仿宋-GB2312" w:eastAsia="CESI仿宋-GB2312" w:cs="CESI仿宋-GB2312"/>
          <w:i w:val="0"/>
          <w:color w:val="auto"/>
          <w:sz w:val="32"/>
          <w:szCs w:val="32"/>
          <w:highlight w:val="none"/>
        </w:rPr>
        <w:t>）</w:t>
      </w:r>
      <w:r>
        <w:rPr>
          <w:rFonts w:hint="eastAsia" w:ascii="CESI仿宋-GB2312" w:hAnsi="CESI仿宋-GB2312" w:eastAsia="CESI仿宋-GB2312" w:cs="CESI仿宋-GB2312"/>
          <w:i w:val="0"/>
          <w:color w:val="auto"/>
          <w:sz w:val="32"/>
          <w:szCs w:val="32"/>
          <w:highlight w:val="none"/>
          <w:lang w:eastAsia="zh-CN"/>
        </w:rPr>
        <w:t>特殊区域：</w:t>
      </w:r>
    </w:p>
    <w:p w14:paraId="236301F7">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val="en-US" w:eastAsia="zh-CN"/>
        </w:rPr>
        <w:t>1.旅游景区</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val="en-US" w:eastAsia="zh-CN"/>
        </w:rPr>
        <w:t>AAA级以上旅游景区</w:t>
      </w:r>
      <w:r>
        <w:rPr>
          <w:rFonts w:hint="eastAsia" w:ascii="CESI仿宋-GB2312" w:hAnsi="CESI仿宋-GB2312" w:eastAsia="CESI仿宋-GB2312" w:cs="CESI仿宋-GB2312"/>
          <w:i w:val="0"/>
          <w:color w:val="auto"/>
          <w:sz w:val="32"/>
          <w:szCs w:val="32"/>
          <w:highlight w:val="none"/>
        </w:rPr>
        <w:t>按照固定门店</w:t>
      </w:r>
      <w:r>
        <w:rPr>
          <w:rFonts w:hint="eastAsia" w:ascii="CESI仿宋-GB2312" w:hAnsi="CESI仿宋-GB2312" w:eastAsia="CESI仿宋-GB2312" w:cs="CESI仿宋-GB2312"/>
          <w:i w:val="0"/>
          <w:color w:val="auto"/>
          <w:sz w:val="32"/>
          <w:szCs w:val="32"/>
          <w:highlight w:val="none"/>
          <w:lang w:eastAsia="zh-CN"/>
        </w:rPr>
        <w:t>数量</w:t>
      </w:r>
      <w:r>
        <w:rPr>
          <w:rFonts w:hint="eastAsia" w:ascii="CESI仿宋-GB2312" w:hAnsi="CESI仿宋-GB2312" w:eastAsia="CESI仿宋-GB2312" w:cs="CESI仿宋-GB2312"/>
          <w:i w:val="0"/>
          <w:color w:val="auto"/>
          <w:sz w:val="32"/>
          <w:szCs w:val="32"/>
          <w:highlight w:val="none"/>
        </w:rPr>
        <w:t>每</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rPr>
        <w:t>户设置</w:t>
      </w:r>
      <w:r>
        <w:rPr>
          <w:rFonts w:hint="eastAsia" w:ascii="CESI仿宋-GB2312" w:hAnsi="CESI仿宋-GB2312" w:eastAsia="CESI仿宋-GB2312" w:cs="CESI仿宋-GB2312"/>
          <w:i w:val="0"/>
          <w:color w:val="auto"/>
          <w:sz w:val="32"/>
          <w:szCs w:val="32"/>
          <w:highlight w:val="none"/>
          <w:lang w:val="en-US" w:eastAsia="zh-CN"/>
        </w:rPr>
        <w:t>1</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eastAsia="zh-CN"/>
        </w:rPr>
        <w:t>不足</w:t>
      </w:r>
      <w:r>
        <w:rPr>
          <w:rFonts w:hint="eastAsia" w:ascii="CESI仿宋-GB2312" w:hAnsi="CESI仿宋-GB2312" w:eastAsia="CESI仿宋-GB2312" w:cs="CESI仿宋-GB2312"/>
          <w:i w:val="0"/>
          <w:color w:val="auto"/>
          <w:sz w:val="32"/>
          <w:szCs w:val="32"/>
          <w:highlight w:val="none"/>
          <w:lang w:val="en-US" w:eastAsia="zh-CN"/>
        </w:rPr>
        <w:t>50户的可设置1个零售点，</w:t>
      </w:r>
      <w:r>
        <w:rPr>
          <w:rFonts w:hint="eastAsia" w:ascii="CESI仿宋-GB2312" w:hAnsi="CESI仿宋-GB2312" w:eastAsia="CESI仿宋-GB2312" w:cs="CESI仿宋-GB2312"/>
          <w:i w:val="0"/>
          <w:color w:val="auto"/>
          <w:sz w:val="32"/>
          <w:szCs w:val="32"/>
          <w:highlight w:val="none"/>
        </w:rPr>
        <w:t>不</w:t>
      </w:r>
      <w:r>
        <w:rPr>
          <w:rFonts w:hint="eastAsia" w:ascii="CESI仿宋-GB2312" w:hAnsi="CESI仿宋-GB2312" w:eastAsia="CESI仿宋-GB2312" w:cs="CESI仿宋-GB2312"/>
          <w:i w:val="0"/>
          <w:color w:val="auto"/>
          <w:sz w:val="32"/>
          <w:szCs w:val="32"/>
          <w:highlight w:val="none"/>
          <w:lang w:eastAsia="zh-CN"/>
        </w:rPr>
        <w:t>足</w:t>
      </w:r>
      <w:r>
        <w:rPr>
          <w:rFonts w:hint="eastAsia" w:ascii="CESI仿宋-GB2312" w:hAnsi="CESI仿宋-GB2312" w:eastAsia="CESI仿宋-GB2312" w:cs="CESI仿宋-GB2312"/>
          <w:i w:val="0"/>
          <w:color w:val="auto"/>
          <w:sz w:val="32"/>
          <w:szCs w:val="32"/>
          <w:highlight w:val="none"/>
          <w:lang w:val="en-US" w:eastAsia="zh-CN"/>
        </w:rPr>
        <w:t>100</w:t>
      </w:r>
      <w:r>
        <w:rPr>
          <w:rFonts w:hint="eastAsia" w:ascii="CESI仿宋-GB2312" w:hAnsi="CESI仿宋-GB2312" w:eastAsia="CESI仿宋-GB2312" w:cs="CESI仿宋-GB2312"/>
          <w:i w:val="0"/>
          <w:color w:val="auto"/>
          <w:sz w:val="32"/>
          <w:szCs w:val="32"/>
          <w:highlight w:val="none"/>
        </w:rPr>
        <w:t>户的设置不超过2个零售点，</w:t>
      </w:r>
      <w:r>
        <w:rPr>
          <w:rFonts w:hint="eastAsia" w:ascii="CESI仿宋-GB2312" w:hAnsi="CESI仿宋-GB2312" w:eastAsia="CESI仿宋-GB2312" w:cs="CESI仿宋-GB2312"/>
          <w:i w:val="0"/>
          <w:color w:val="auto"/>
          <w:sz w:val="32"/>
          <w:szCs w:val="32"/>
          <w:highlight w:val="none"/>
          <w:lang w:val="en-US" w:eastAsia="zh-CN"/>
        </w:rPr>
        <w:t>100户以上的每增加50户可增设1个零售点，</w:t>
      </w:r>
      <w:r>
        <w:rPr>
          <w:rFonts w:hint="eastAsia" w:ascii="CESI仿宋-GB2312" w:hAnsi="CESI仿宋-GB2312" w:eastAsia="CESI仿宋-GB2312" w:cs="CESI仿宋-GB2312"/>
          <w:i w:val="0"/>
          <w:color w:val="auto"/>
          <w:sz w:val="32"/>
          <w:szCs w:val="32"/>
          <w:highlight w:val="none"/>
        </w:rPr>
        <w:t>最多设置不超过</w:t>
      </w:r>
      <w:r>
        <w:rPr>
          <w:rFonts w:hint="eastAsia" w:ascii="CESI仿宋-GB2312" w:hAnsi="CESI仿宋-GB2312" w:eastAsia="CESI仿宋-GB2312" w:cs="CESI仿宋-GB2312"/>
          <w:i w:val="0"/>
          <w:color w:val="auto"/>
          <w:sz w:val="32"/>
          <w:szCs w:val="32"/>
          <w:highlight w:val="none"/>
          <w:lang w:val="en-US" w:eastAsia="zh-CN"/>
        </w:rPr>
        <w:t>4</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30</w:t>
      </w:r>
      <w:r>
        <w:rPr>
          <w:rFonts w:hint="eastAsia" w:ascii="CESI仿宋-GB2312" w:hAnsi="CESI仿宋-GB2312" w:eastAsia="CESI仿宋-GB2312" w:cs="CESI仿宋-GB2312"/>
          <w:i w:val="0"/>
          <w:color w:val="auto"/>
          <w:sz w:val="32"/>
          <w:szCs w:val="32"/>
          <w:highlight w:val="none"/>
        </w:rPr>
        <w:t>米。</w:t>
      </w:r>
    </w:p>
    <w:p w14:paraId="1CF42150">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val="en-US" w:eastAsia="zh-CN"/>
        </w:rPr>
        <w:t>2.公路服务区</w:t>
      </w:r>
      <w:r>
        <w:rPr>
          <w:rFonts w:hint="eastAsia" w:ascii="CESI仿宋-GB2312" w:hAnsi="CESI仿宋-GB2312" w:eastAsia="CESI仿宋-GB2312" w:cs="CESI仿宋-GB2312"/>
          <w:i w:val="0"/>
          <w:color w:val="auto"/>
          <w:sz w:val="32"/>
          <w:szCs w:val="32"/>
          <w:highlight w:val="none"/>
        </w:rPr>
        <w:t>零售点设置标准。高速公路服务区</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lang w:val="en-US" w:eastAsia="zh-CN"/>
        </w:rPr>
        <w:t>单侧）</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rPr>
        <w:t>国道、省道、县级公路沿线形成餐饮、休息、问询</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lang w:val="en-US" w:eastAsia="zh-CN"/>
        </w:rPr>
        <w:t>加油站（加气站、充电站）</w:t>
      </w:r>
      <w:r>
        <w:rPr>
          <w:rFonts w:hint="eastAsia" w:ascii="CESI仿宋-GB2312" w:hAnsi="CESI仿宋-GB2312" w:eastAsia="CESI仿宋-GB2312" w:cs="CESI仿宋-GB2312"/>
          <w:i w:val="0"/>
          <w:color w:val="auto"/>
          <w:sz w:val="32"/>
          <w:szCs w:val="32"/>
          <w:highlight w:val="none"/>
        </w:rPr>
        <w:t>等独立区域内的商店，可设置1个零售点。</w:t>
      </w:r>
    </w:p>
    <w:p w14:paraId="7DA291C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3.</w:t>
      </w:r>
      <w:r>
        <w:rPr>
          <w:rFonts w:hint="eastAsia" w:ascii="CESI仿宋-GB2312" w:hAnsi="CESI仿宋-GB2312" w:eastAsia="CESI仿宋-GB2312" w:cs="CESI仿宋-GB2312"/>
          <w:i w:val="0"/>
          <w:color w:val="auto"/>
          <w:sz w:val="32"/>
          <w:szCs w:val="32"/>
          <w:highlight w:val="none"/>
        </w:rPr>
        <w:t>生产制造</w:t>
      </w:r>
      <w:r>
        <w:rPr>
          <w:rFonts w:hint="eastAsia" w:ascii="CESI仿宋-GB2312" w:hAnsi="CESI仿宋-GB2312" w:eastAsia="CESI仿宋-GB2312" w:cs="CESI仿宋-GB2312"/>
          <w:i w:val="0"/>
          <w:color w:val="auto"/>
          <w:sz w:val="32"/>
          <w:szCs w:val="32"/>
          <w:highlight w:val="none"/>
          <w:lang w:eastAsia="zh-CN"/>
        </w:rPr>
        <w:t>、工矿企业</w:t>
      </w:r>
      <w:r>
        <w:rPr>
          <w:rFonts w:hint="eastAsia" w:ascii="CESI仿宋-GB2312" w:hAnsi="CESI仿宋-GB2312" w:eastAsia="CESI仿宋-GB2312" w:cs="CESI仿宋-GB2312"/>
          <w:i w:val="0"/>
          <w:color w:val="auto"/>
          <w:sz w:val="32"/>
          <w:szCs w:val="32"/>
          <w:highlight w:val="none"/>
          <w:lang w:val="en-US" w:eastAsia="zh-CN"/>
        </w:rPr>
        <w:t>、油田作业区</w:t>
      </w:r>
      <w:r>
        <w:rPr>
          <w:rFonts w:hint="eastAsia" w:ascii="CESI仿宋-GB2312" w:hAnsi="CESI仿宋-GB2312" w:eastAsia="CESI仿宋-GB2312" w:cs="CESI仿宋-GB2312"/>
          <w:i w:val="0"/>
          <w:color w:val="auto"/>
          <w:sz w:val="32"/>
          <w:szCs w:val="32"/>
          <w:highlight w:val="none"/>
          <w:lang w:eastAsia="zh-CN"/>
        </w:rPr>
        <w:t>的生活聚居区</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val="en-US" w:eastAsia="zh-CN"/>
        </w:rPr>
        <w:t>按照每300人口设置1个零售点，不足300人口的可设置1个零售点，300人口以上的每增加300人口可增设1个零售点，最多设置不超过3个零售点。</w:t>
      </w:r>
    </w:p>
    <w:p w14:paraId="774ABED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4.</w:t>
      </w:r>
      <w:r>
        <w:rPr>
          <w:rFonts w:hint="eastAsia" w:ascii="CESI仿宋-GB2312" w:hAnsi="CESI仿宋-GB2312" w:eastAsia="CESI仿宋-GB2312" w:cs="CESI仿宋-GB2312"/>
          <w:i w:val="0"/>
          <w:color w:val="auto"/>
          <w:sz w:val="32"/>
          <w:szCs w:val="32"/>
          <w:highlight w:val="none"/>
          <w:lang w:eastAsia="zh-CN"/>
        </w:rPr>
        <w:t>在建工程项目生活区</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eastAsia="zh-CN"/>
        </w:rPr>
        <w:t>在生活区内部，</w:t>
      </w:r>
      <w:r>
        <w:rPr>
          <w:rFonts w:hint="eastAsia" w:ascii="CESI仿宋-GB2312" w:hAnsi="CESI仿宋-GB2312" w:eastAsia="CESI仿宋-GB2312" w:cs="CESI仿宋-GB2312"/>
          <w:i w:val="0"/>
          <w:color w:val="auto"/>
          <w:sz w:val="32"/>
          <w:szCs w:val="32"/>
          <w:highlight w:val="none"/>
          <w:lang w:val="en-US" w:eastAsia="zh-CN"/>
        </w:rPr>
        <w:t>按照每300人口设置1个零售点，不足300人口的可设置1个零售点，300人口以上的，每增加300人口可增设1个零售点，最多设置不超过2个零售点。</w:t>
      </w:r>
    </w:p>
    <w:p w14:paraId="770E2105">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val="en-US" w:eastAsia="zh-CN"/>
        </w:rPr>
        <w:t>5.</w:t>
      </w:r>
      <w:r>
        <w:rPr>
          <w:rFonts w:hint="eastAsia" w:ascii="CESI仿宋-GB2312" w:hAnsi="CESI仿宋-GB2312" w:eastAsia="CESI仿宋-GB2312" w:cs="CESI仿宋-GB2312"/>
          <w:i w:val="0"/>
          <w:color w:val="auto"/>
          <w:sz w:val="32"/>
          <w:szCs w:val="32"/>
          <w:highlight w:val="none"/>
        </w:rPr>
        <w:t>火车站、汽车站零售点设置标准。火车站、汽车站</w:t>
      </w:r>
      <w:r>
        <w:rPr>
          <w:rFonts w:hint="eastAsia" w:ascii="CESI仿宋-GB2312" w:hAnsi="CESI仿宋-GB2312" w:eastAsia="CESI仿宋-GB2312" w:cs="CESI仿宋-GB2312"/>
          <w:i w:val="0"/>
          <w:color w:val="auto"/>
          <w:sz w:val="32"/>
          <w:szCs w:val="32"/>
          <w:highlight w:val="none"/>
          <w:lang w:val="en-US" w:eastAsia="zh-CN"/>
        </w:rPr>
        <w:t>区域</w:t>
      </w:r>
      <w:r>
        <w:rPr>
          <w:rFonts w:hint="eastAsia" w:ascii="CESI仿宋-GB2312" w:hAnsi="CESI仿宋-GB2312" w:eastAsia="CESI仿宋-GB2312" w:cs="CESI仿宋-GB2312"/>
          <w:i w:val="0"/>
          <w:color w:val="auto"/>
          <w:sz w:val="32"/>
          <w:szCs w:val="32"/>
          <w:highlight w:val="none"/>
        </w:rPr>
        <w:t>内</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lang w:val="en-US" w:eastAsia="zh-CN"/>
        </w:rPr>
        <w:t>可</w:t>
      </w:r>
      <w:r>
        <w:rPr>
          <w:rFonts w:hint="eastAsia" w:ascii="CESI仿宋-GB2312" w:hAnsi="CESI仿宋-GB2312" w:eastAsia="CESI仿宋-GB2312" w:cs="CESI仿宋-GB2312"/>
          <w:i w:val="0"/>
          <w:color w:val="auto"/>
          <w:sz w:val="32"/>
          <w:szCs w:val="32"/>
          <w:highlight w:val="none"/>
        </w:rPr>
        <w:t>设置不超过2个零售点。</w:t>
      </w:r>
    </w:p>
    <w:p w14:paraId="087CBF9E">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6.军管区、警管区</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val="en-US" w:eastAsia="zh-CN"/>
        </w:rPr>
        <w:t>军管区、警管区（即军事单位、监狱、拘留所、看守所、戒毒所等特殊区域)内的经营场所，可设置不超过1个零售点。</w:t>
      </w:r>
    </w:p>
    <w:p w14:paraId="6BF27689">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val="0"/>
          <w:bCs/>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7.</w:t>
      </w:r>
      <w:r>
        <w:rPr>
          <w:rFonts w:hint="eastAsia" w:ascii="CESI仿宋-GB2312" w:hAnsi="CESI仿宋-GB2312" w:eastAsia="CESI仿宋-GB2312" w:cs="CESI仿宋-GB2312"/>
          <w:i w:val="0"/>
          <w:color w:val="auto"/>
          <w:sz w:val="32"/>
          <w:szCs w:val="32"/>
          <w:highlight w:val="none"/>
        </w:rPr>
        <w:t>集贸区</w:t>
      </w:r>
      <w:r>
        <w:rPr>
          <w:rFonts w:hint="eastAsia" w:ascii="CESI仿宋-GB2312" w:hAnsi="CESI仿宋-GB2312" w:eastAsia="CESI仿宋-GB2312" w:cs="CESI仿宋-GB2312"/>
          <w:i w:val="0"/>
          <w:color w:val="auto"/>
          <w:sz w:val="32"/>
          <w:szCs w:val="32"/>
          <w:highlight w:val="none"/>
          <w:lang w:eastAsia="zh-CN"/>
        </w:rPr>
        <w:t>、物流园</w:t>
      </w:r>
      <w:r>
        <w:rPr>
          <w:rFonts w:hint="eastAsia" w:ascii="CESI仿宋-GB2312" w:hAnsi="CESI仿宋-GB2312" w:eastAsia="CESI仿宋-GB2312" w:cs="CESI仿宋-GB2312"/>
          <w:i w:val="0"/>
          <w:color w:val="auto"/>
          <w:sz w:val="32"/>
          <w:szCs w:val="32"/>
          <w:highlight w:val="none"/>
        </w:rPr>
        <w:t>零售点设置标准。</w:t>
      </w:r>
      <w:r>
        <w:rPr>
          <w:rFonts w:hint="eastAsia" w:ascii="CESI仿宋-GB2312" w:hAnsi="CESI仿宋-GB2312" w:eastAsia="CESI仿宋-GB2312" w:cs="CESI仿宋-GB2312"/>
          <w:i w:val="0"/>
          <w:color w:val="auto"/>
          <w:sz w:val="32"/>
          <w:szCs w:val="32"/>
          <w:highlight w:val="none"/>
          <w:lang w:eastAsia="zh-CN"/>
        </w:rPr>
        <w:t>按照</w:t>
      </w:r>
      <w:r>
        <w:rPr>
          <w:rFonts w:hint="eastAsia" w:ascii="CESI仿宋-GB2312" w:hAnsi="CESI仿宋-GB2312" w:eastAsia="CESI仿宋-GB2312" w:cs="CESI仿宋-GB2312"/>
          <w:i w:val="0"/>
          <w:color w:val="auto"/>
          <w:sz w:val="32"/>
          <w:szCs w:val="32"/>
          <w:highlight w:val="none"/>
        </w:rPr>
        <w:t>固定门店</w:t>
      </w:r>
      <w:r>
        <w:rPr>
          <w:rFonts w:hint="eastAsia" w:ascii="CESI仿宋-GB2312" w:hAnsi="CESI仿宋-GB2312" w:eastAsia="CESI仿宋-GB2312" w:cs="CESI仿宋-GB2312"/>
          <w:i w:val="0"/>
          <w:color w:val="auto"/>
          <w:sz w:val="32"/>
          <w:szCs w:val="32"/>
          <w:highlight w:val="none"/>
          <w:lang w:eastAsia="zh-CN"/>
        </w:rPr>
        <w:t>数量每</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lang w:eastAsia="zh-CN"/>
        </w:rPr>
        <w:t>户</w:t>
      </w:r>
      <w:r>
        <w:rPr>
          <w:rFonts w:hint="eastAsia" w:ascii="CESI仿宋-GB2312" w:hAnsi="CESI仿宋-GB2312" w:eastAsia="CESI仿宋-GB2312" w:cs="CESI仿宋-GB2312"/>
          <w:i w:val="0"/>
          <w:color w:val="auto"/>
          <w:sz w:val="32"/>
          <w:szCs w:val="32"/>
          <w:highlight w:val="none"/>
        </w:rPr>
        <w:t>固定门店（含沿街门面）设置1个零售点，不</w:t>
      </w:r>
      <w:r>
        <w:rPr>
          <w:rFonts w:hint="eastAsia" w:ascii="CESI仿宋-GB2312" w:hAnsi="CESI仿宋-GB2312" w:eastAsia="CESI仿宋-GB2312" w:cs="CESI仿宋-GB2312"/>
          <w:i w:val="0"/>
          <w:color w:val="auto"/>
          <w:sz w:val="32"/>
          <w:szCs w:val="32"/>
          <w:highlight w:val="none"/>
          <w:lang w:eastAsia="zh-CN"/>
        </w:rPr>
        <w:t>足</w:t>
      </w:r>
      <w:r>
        <w:rPr>
          <w:rFonts w:hint="eastAsia" w:ascii="CESI仿宋-GB2312" w:hAnsi="CESI仿宋-GB2312" w:eastAsia="CESI仿宋-GB2312" w:cs="CESI仿宋-GB2312"/>
          <w:i w:val="0"/>
          <w:color w:val="auto"/>
          <w:sz w:val="32"/>
          <w:szCs w:val="32"/>
          <w:highlight w:val="none"/>
          <w:lang w:val="en-US" w:eastAsia="zh-CN"/>
        </w:rPr>
        <w:t>100</w:t>
      </w:r>
      <w:r>
        <w:rPr>
          <w:rFonts w:hint="eastAsia" w:ascii="CESI仿宋-GB2312" w:hAnsi="CESI仿宋-GB2312" w:eastAsia="CESI仿宋-GB2312" w:cs="CESI仿宋-GB2312"/>
          <w:i w:val="0"/>
          <w:color w:val="auto"/>
          <w:sz w:val="32"/>
          <w:szCs w:val="32"/>
          <w:highlight w:val="none"/>
          <w:lang w:eastAsia="zh-CN"/>
        </w:rPr>
        <w:t>户</w:t>
      </w:r>
      <w:r>
        <w:rPr>
          <w:rFonts w:hint="eastAsia" w:ascii="CESI仿宋-GB2312" w:hAnsi="CESI仿宋-GB2312" w:eastAsia="CESI仿宋-GB2312" w:cs="CESI仿宋-GB2312"/>
          <w:i w:val="0"/>
          <w:color w:val="auto"/>
          <w:sz w:val="32"/>
          <w:szCs w:val="32"/>
          <w:highlight w:val="none"/>
        </w:rPr>
        <w:t>的设置</w:t>
      </w:r>
      <w:r>
        <w:rPr>
          <w:rFonts w:hint="eastAsia" w:ascii="CESI仿宋-GB2312" w:hAnsi="CESI仿宋-GB2312" w:eastAsia="CESI仿宋-GB2312" w:cs="CESI仿宋-GB2312"/>
          <w:i w:val="0"/>
          <w:color w:val="auto"/>
          <w:sz w:val="32"/>
          <w:szCs w:val="32"/>
          <w:highlight w:val="none"/>
          <w:lang w:eastAsia="zh-CN"/>
        </w:rPr>
        <w:t>不超过</w:t>
      </w:r>
      <w:r>
        <w:rPr>
          <w:rFonts w:hint="eastAsia" w:ascii="CESI仿宋-GB2312" w:hAnsi="CESI仿宋-GB2312" w:eastAsia="CESI仿宋-GB2312" w:cs="CESI仿宋-GB2312"/>
          <w:i w:val="0"/>
          <w:color w:val="auto"/>
          <w:sz w:val="32"/>
          <w:szCs w:val="32"/>
          <w:highlight w:val="none"/>
          <w:lang w:val="en-US" w:eastAsia="zh-CN"/>
        </w:rPr>
        <w:t>2</w:t>
      </w:r>
      <w:r>
        <w:rPr>
          <w:rFonts w:hint="eastAsia" w:ascii="CESI仿宋-GB2312" w:hAnsi="CESI仿宋-GB2312" w:eastAsia="CESI仿宋-GB2312" w:cs="CESI仿宋-GB2312"/>
          <w:i w:val="0"/>
          <w:color w:val="auto"/>
          <w:sz w:val="32"/>
          <w:szCs w:val="32"/>
          <w:highlight w:val="none"/>
        </w:rPr>
        <w:t>个零售点，</w:t>
      </w:r>
      <w:r>
        <w:rPr>
          <w:rFonts w:hint="eastAsia" w:ascii="CESI仿宋-GB2312" w:hAnsi="CESI仿宋-GB2312" w:eastAsia="CESI仿宋-GB2312" w:cs="CESI仿宋-GB2312"/>
          <w:i w:val="0"/>
          <w:color w:val="auto"/>
          <w:sz w:val="32"/>
          <w:szCs w:val="32"/>
          <w:highlight w:val="none"/>
          <w:lang w:val="en-US" w:eastAsia="zh-CN"/>
        </w:rPr>
        <w:t>100户以上的，每增加50户可增设1个零售点，</w:t>
      </w:r>
      <w:r>
        <w:rPr>
          <w:rFonts w:hint="eastAsia" w:ascii="CESI仿宋-GB2312" w:hAnsi="CESI仿宋-GB2312" w:eastAsia="CESI仿宋-GB2312" w:cs="CESI仿宋-GB2312"/>
          <w:i w:val="0"/>
          <w:color w:val="auto"/>
          <w:sz w:val="32"/>
          <w:szCs w:val="32"/>
          <w:highlight w:val="none"/>
        </w:rPr>
        <w:t>最多设置不超过10个零售点。</w:t>
      </w:r>
      <w:r>
        <w:rPr>
          <w:rFonts w:hint="eastAsia" w:ascii="CESI仿宋-GB2312" w:hAnsi="CESI仿宋-GB2312" w:eastAsia="CESI仿宋-GB2312" w:cs="CESI仿宋-GB2312"/>
          <w:i w:val="0"/>
          <w:color w:val="auto"/>
          <w:sz w:val="32"/>
          <w:szCs w:val="32"/>
          <w:highlight w:val="none"/>
          <w:lang w:eastAsia="zh-CN"/>
        </w:rPr>
        <w:t>零售点间隔</w:t>
      </w:r>
      <w:r>
        <w:rPr>
          <w:rFonts w:hint="eastAsia" w:ascii="CESI仿宋-GB2312" w:hAnsi="CESI仿宋-GB2312" w:eastAsia="CESI仿宋-GB2312" w:cs="CESI仿宋-GB2312"/>
          <w:i w:val="0"/>
          <w:color w:val="auto"/>
          <w:sz w:val="32"/>
          <w:szCs w:val="32"/>
          <w:highlight w:val="none"/>
        </w:rPr>
        <w:t>距离</w:t>
      </w:r>
      <w:r>
        <w:rPr>
          <w:rFonts w:hint="eastAsia" w:ascii="CESI仿宋-GB2312" w:hAnsi="CESI仿宋-GB2312" w:eastAsia="CESI仿宋-GB2312" w:cs="CESI仿宋-GB2312"/>
          <w:i w:val="0"/>
          <w:color w:val="auto"/>
          <w:sz w:val="32"/>
          <w:szCs w:val="32"/>
          <w:highlight w:val="none"/>
          <w:lang w:eastAsia="zh-CN"/>
        </w:rPr>
        <w:t>不小于</w:t>
      </w:r>
      <w:r>
        <w:rPr>
          <w:rFonts w:hint="eastAsia" w:ascii="CESI仿宋-GB2312" w:hAnsi="CESI仿宋-GB2312" w:eastAsia="CESI仿宋-GB2312" w:cs="CESI仿宋-GB2312"/>
          <w:i w:val="0"/>
          <w:color w:val="auto"/>
          <w:sz w:val="32"/>
          <w:szCs w:val="32"/>
          <w:highlight w:val="none"/>
          <w:lang w:val="en-US" w:eastAsia="zh-CN"/>
        </w:rPr>
        <w:t>30米</w:t>
      </w:r>
      <w:r>
        <w:rPr>
          <w:rFonts w:hint="eastAsia" w:ascii="CESI仿宋-GB2312" w:hAnsi="CESI仿宋-GB2312" w:eastAsia="CESI仿宋-GB2312" w:cs="CESI仿宋-GB2312"/>
          <w:i w:val="0"/>
          <w:color w:val="auto"/>
          <w:sz w:val="32"/>
          <w:szCs w:val="32"/>
          <w:highlight w:val="none"/>
          <w:lang w:eastAsia="zh-CN"/>
        </w:rPr>
        <w:t>。</w:t>
      </w:r>
    </w:p>
    <w:p w14:paraId="7513F292">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第七条</w:t>
      </w:r>
      <w:r>
        <w:rPr>
          <w:rFonts w:hint="eastAsia" w:ascii="CESI仿宋-GB2312" w:hAnsi="CESI仿宋-GB2312" w:eastAsia="CESI仿宋-GB2312" w:cs="CESI仿宋-GB2312"/>
          <w:i w:val="0"/>
          <w:color w:val="auto"/>
          <w:sz w:val="32"/>
          <w:szCs w:val="32"/>
          <w:highlight w:val="none"/>
        </w:rPr>
        <w:t>　网格内零售点数量动态管理原则：</w:t>
      </w:r>
    </w:p>
    <w:p w14:paraId="0AFF8760">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rPr>
        <w:t>（一）饱和区</w:t>
      </w:r>
      <w:r>
        <w:rPr>
          <w:rFonts w:hint="eastAsia" w:ascii="CESI仿宋-GB2312" w:hAnsi="CESI仿宋-GB2312" w:eastAsia="CESI仿宋-GB2312" w:cs="CESI仿宋-GB2312"/>
          <w:i w:val="0"/>
          <w:color w:val="auto"/>
          <w:sz w:val="32"/>
          <w:szCs w:val="32"/>
          <w:highlight w:val="none"/>
          <w:lang w:eastAsia="en-US"/>
        </w:rPr>
        <w:t>。</w:t>
      </w:r>
      <w:r>
        <w:rPr>
          <w:rFonts w:hint="eastAsia" w:ascii="CESI仿宋-GB2312" w:hAnsi="CESI仿宋-GB2312" w:eastAsia="CESI仿宋-GB2312" w:cs="CESI仿宋-GB2312"/>
          <w:i w:val="0"/>
          <w:color w:val="auto"/>
          <w:sz w:val="32"/>
          <w:szCs w:val="32"/>
          <w:highlight w:val="none"/>
        </w:rPr>
        <w:t>零售点数量超过网格预设户</w:t>
      </w:r>
      <w:r>
        <w:rPr>
          <w:rFonts w:hint="eastAsia" w:ascii="CESI仿宋-GB2312" w:hAnsi="CESI仿宋-GB2312" w:eastAsia="CESI仿宋-GB2312" w:cs="CESI仿宋-GB2312"/>
          <w:i w:val="0"/>
          <w:color w:val="auto"/>
          <w:sz w:val="32"/>
          <w:szCs w:val="32"/>
          <w:highlight w:val="none"/>
          <w:lang w:eastAsia="zh-CN"/>
        </w:rPr>
        <w:t>数</w:t>
      </w:r>
      <w:r>
        <w:rPr>
          <w:rFonts w:hint="eastAsia" w:ascii="CESI仿宋-GB2312" w:hAnsi="CESI仿宋-GB2312" w:eastAsia="CESI仿宋-GB2312" w:cs="CESI仿宋-GB2312"/>
          <w:i w:val="0"/>
          <w:color w:val="auto"/>
          <w:sz w:val="32"/>
          <w:szCs w:val="32"/>
          <w:highlight w:val="none"/>
        </w:rPr>
        <w:t>的，按照</w:t>
      </w:r>
      <w:r>
        <w:rPr>
          <w:rFonts w:hint="eastAsia" w:ascii="CESI仿宋-GB2312" w:hAnsi="CESI仿宋-GB2312" w:eastAsia="CESI仿宋-GB2312" w:cs="CESI仿宋-GB2312"/>
          <w:i w:val="0"/>
          <w:color w:val="auto"/>
          <w:sz w:val="32"/>
          <w:szCs w:val="32"/>
          <w:highlight w:val="none"/>
          <w:lang w:eastAsia="zh-CN"/>
        </w:rPr>
        <w:t>“只退不增”原则优</w:t>
      </w:r>
      <w:r>
        <w:rPr>
          <w:rFonts w:hint="eastAsia" w:ascii="CESI仿宋-GB2312" w:hAnsi="CESI仿宋-GB2312" w:eastAsia="CESI仿宋-GB2312" w:cs="CESI仿宋-GB2312"/>
          <w:i w:val="0"/>
          <w:color w:val="auto"/>
          <w:sz w:val="32"/>
          <w:szCs w:val="32"/>
          <w:highlight w:val="none"/>
        </w:rPr>
        <w:t>化零售点布局（放宽情形除外），直至该网格状态变为稳定</w:t>
      </w:r>
      <w:r>
        <w:rPr>
          <w:rFonts w:hint="eastAsia" w:ascii="CESI仿宋-GB2312" w:hAnsi="CESI仿宋-GB2312" w:eastAsia="CESI仿宋-GB2312" w:cs="CESI仿宋-GB2312"/>
          <w:i w:val="0"/>
          <w:color w:val="auto"/>
          <w:sz w:val="32"/>
          <w:szCs w:val="32"/>
          <w:highlight w:val="none"/>
          <w:lang w:val="en-US" w:eastAsia="en-US"/>
        </w:rPr>
        <w:t>状态</w:t>
      </w:r>
      <w:r>
        <w:rPr>
          <w:rFonts w:hint="eastAsia" w:ascii="CESI仿宋-GB2312" w:hAnsi="CESI仿宋-GB2312" w:eastAsia="CESI仿宋-GB2312" w:cs="CESI仿宋-GB2312"/>
          <w:i w:val="0"/>
          <w:color w:val="auto"/>
          <w:sz w:val="32"/>
          <w:szCs w:val="32"/>
          <w:highlight w:val="none"/>
        </w:rPr>
        <w:t>或发展</w:t>
      </w:r>
      <w:r>
        <w:rPr>
          <w:rFonts w:hint="eastAsia" w:ascii="CESI仿宋-GB2312" w:hAnsi="CESI仿宋-GB2312" w:eastAsia="CESI仿宋-GB2312" w:cs="CESI仿宋-GB2312"/>
          <w:i w:val="0"/>
          <w:color w:val="auto"/>
          <w:sz w:val="32"/>
          <w:szCs w:val="32"/>
          <w:highlight w:val="none"/>
          <w:lang w:val="en-US" w:eastAsia="en-US"/>
        </w:rPr>
        <w:t>状态</w:t>
      </w:r>
      <w:r>
        <w:rPr>
          <w:rFonts w:hint="eastAsia" w:ascii="CESI仿宋-GB2312" w:hAnsi="CESI仿宋-GB2312" w:eastAsia="CESI仿宋-GB2312" w:cs="CESI仿宋-GB2312"/>
          <w:i w:val="0"/>
          <w:color w:val="auto"/>
          <w:sz w:val="32"/>
          <w:szCs w:val="32"/>
          <w:highlight w:val="none"/>
        </w:rPr>
        <w:t>；</w:t>
      </w:r>
    </w:p>
    <w:p w14:paraId="1780AB06">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（二）稳定区</w:t>
      </w:r>
      <w:r>
        <w:rPr>
          <w:rFonts w:hint="eastAsia" w:ascii="CESI仿宋-GB2312" w:hAnsi="CESI仿宋-GB2312" w:eastAsia="CESI仿宋-GB2312" w:cs="CESI仿宋-GB2312"/>
          <w:i w:val="0"/>
          <w:color w:val="auto"/>
          <w:sz w:val="32"/>
          <w:szCs w:val="32"/>
          <w:highlight w:val="none"/>
          <w:lang w:eastAsia="en-US"/>
        </w:rPr>
        <w:t>。</w:t>
      </w:r>
      <w:r>
        <w:rPr>
          <w:rFonts w:hint="eastAsia" w:ascii="CESI仿宋-GB2312" w:hAnsi="CESI仿宋-GB2312" w:eastAsia="CESI仿宋-GB2312" w:cs="CESI仿宋-GB2312"/>
          <w:i w:val="0"/>
          <w:color w:val="auto"/>
          <w:sz w:val="32"/>
          <w:szCs w:val="32"/>
          <w:highlight w:val="none"/>
          <w:lang w:eastAsia="zh-CN"/>
        </w:rPr>
        <w:t>零售点数量</w:t>
      </w:r>
      <w:r>
        <w:rPr>
          <w:rFonts w:hint="eastAsia" w:ascii="CESI仿宋-GB2312" w:hAnsi="CESI仿宋-GB2312" w:eastAsia="CESI仿宋-GB2312" w:cs="CESI仿宋-GB2312"/>
          <w:i w:val="0"/>
          <w:color w:val="auto"/>
          <w:sz w:val="32"/>
          <w:szCs w:val="32"/>
          <w:highlight w:val="none"/>
          <w:lang w:val="en-US" w:eastAsia="en-US"/>
        </w:rPr>
        <w:t>持平</w:t>
      </w:r>
      <w:r>
        <w:rPr>
          <w:rFonts w:hint="eastAsia" w:ascii="CESI仿宋-GB2312" w:hAnsi="CESI仿宋-GB2312" w:eastAsia="CESI仿宋-GB2312" w:cs="CESI仿宋-GB2312"/>
          <w:i w:val="0"/>
          <w:color w:val="auto"/>
          <w:sz w:val="32"/>
          <w:szCs w:val="32"/>
          <w:highlight w:val="none"/>
          <w:lang w:eastAsia="zh-CN"/>
        </w:rPr>
        <w:t>网格预设户数的，</w:t>
      </w:r>
      <w:r>
        <w:rPr>
          <w:rFonts w:hint="eastAsia" w:ascii="CESI仿宋-GB2312" w:hAnsi="CESI仿宋-GB2312" w:eastAsia="CESI仿宋-GB2312" w:cs="CESI仿宋-GB2312"/>
          <w:i w:val="0"/>
          <w:color w:val="auto"/>
          <w:sz w:val="32"/>
          <w:szCs w:val="32"/>
          <w:highlight w:val="none"/>
          <w:lang w:val="en-US" w:eastAsia="en-US"/>
        </w:rPr>
        <w:t>对已经进入排队轮候且符合办证条件的申请人，</w:t>
      </w:r>
      <w:r>
        <w:rPr>
          <w:rFonts w:hint="eastAsia" w:ascii="CESI仿宋-GB2312" w:hAnsi="CESI仿宋-GB2312" w:eastAsia="CESI仿宋-GB2312" w:cs="CESI仿宋-GB2312"/>
          <w:i w:val="0"/>
          <w:color w:val="auto"/>
          <w:sz w:val="32"/>
          <w:szCs w:val="32"/>
          <w:highlight w:val="none"/>
          <w:lang w:eastAsia="zh-CN"/>
        </w:rPr>
        <w:t>按照“退</w:t>
      </w:r>
      <w:r>
        <w:rPr>
          <w:rFonts w:hint="eastAsia" w:ascii="CESI仿宋-GB2312" w:hAnsi="CESI仿宋-GB2312" w:eastAsia="CESI仿宋-GB2312" w:cs="CESI仿宋-GB2312"/>
          <w:i w:val="0"/>
          <w:color w:val="auto"/>
          <w:sz w:val="32"/>
          <w:szCs w:val="32"/>
          <w:highlight w:val="none"/>
        </w:rPr>
        <w:t>一进一</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rPr>
        <w:t>原则设置零售点；</w:t>
      </w:r>
    </w:p>
    <w:p w14:paraId="225E7396">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rPr>
        <w:t>（三）发展区</w:t>
      </w:r>
      <w:r>
        <w:rPr>
          <w:rFonts w:hint="eastAsia" w:ascii="CESI仿宋-GB2312" w:hAnsi="CESI仿宋-GB2312" w:eastAsia="CESI仿宋-GB2312" w:cs="CESI仿宋-GB2312"/>
          <w:i w:val="0"/>
          <w:color w:val="auto"/>
          <w:sz w:val="32"/>
          <w:szCs w:val="32"/>
          <w:highlight w:val="none"/>
          <w:lang w:eastAsia="en-US"/>
        </w:rPr>
        <w:t>。</w:t>
      </w:r>
      <w:r>
        <w:rPr>
          <w:rFonts w:hint="eastAsia" w:ascii="CESI仿宋-GB2312" w:hAnsi="CESI仿宋-GB2312" w:eastAsia="CESI仿宋-GB2312" w:cs="CESI仿宋-GB2312"/>
          <w:i w:val="0"/>
          <w:color w:val="auto"/>
          <w:sz w:val="32"/>
          <w:szCs w:val="32"/>
          <w:highlight w:val="none"/>
        </w:rPr>
        <w:t>零售点数量未达到网格预设户数的，</w:t>
      </w:r>
      <w:r>
        <w:rPr>
          <w:rFonts w:hint="eastAsia" w:ascii="CESI仿宋-GB2312" w:hAnsi="CESI仿宋-GB2312" w:eastAsia="CESI仿宋-GB2312" w:cs="CESI仿宋-GB2312"/>
          <w:i w:val="0"/>
          <w:color w:val="auto"/>
          <w:sz w:val="32"/>
          <w:szCs w:val="32"/>
          <w:highlight w:val="none"/>
          <w:lang w:eastAsia="zh-CN"/>
        </w:rPr>
        <w:t>按照“自然增长”原则设置零售点，但不得超过公布周期内新增零售点</w:t>
      </w:r>
      <w:r>
        <w:rPr>
          <w:rFonts w:hint="eastAsia" w:ascii="CESI仿宋-GB2312" w:hAnsi="CESI仿宋-GB2312" w:eastAsia="CESI仿宋-GB2312" w:cs="CESI仿宋-GB2312"/>
          <w:i w:val="0"/>
          <w:color w:val="auto"/>
          <w:sz w:val="32"/>
          <w:szCs w:val="32"/>
          <w:highlight w:val="none"/>
          <w:lang w:val="en-US" w:eastAsia="en-US"/>
        </w:rPr>
        <w:t>预设</w:t>
      </w:r>
      <w:r>
        <w:rPr>
          <w:rFonts w:hint="eastAsia" w:ascii="CESI仿宋-GB2312" w:hAnsi="CESI仿宋-GB2312" w:eastAsia="CESI仿宋-GB2312" w:cs="CESI仿宋-GB2312"/>
          <w:i w:val="0"/>
          <w:color w:val="auto"/>
          <w:sz w:val="32"/>
          <w:szCs w:val="32"/>
          <w:highlight w:val="none"/>
          <w:lang w:val="en-US" w:eastAsia="zh-CN"/>
        </w:rPr>
        <w:t>数量</w:t>
      </w:r>
      <w:r>
        <w:rPr>
          <w:rFonts w:hint="eastAsia" w:ascii="CESI仿宋-GB2312" w:hAnsi="CESI仿宋-GB2312" w:eastAsia="CESI仿宋-GB2312" w:cs="CESI仿宋-GB2312"/>
          <w:i w:val="0"/>
          <w:color w:val="auto"/>
          <w:sz w:val="32"/>
          <w:szCs w:val="32"/>
          <w:highlight w:val="none"/>
          <w:lang w:val="en-US" w:eastAsia="en-US"/>
        </w:rPr>
        <w:t>上限</w:t>
      </w:r>
      <w:r>
        <w:rPr>
          <w:rFonts w:hint="eastAsia" w:ascii="CESI仿宋-GB2312" w:hAnsi="CESI仿宋-GB2312" w:eastAsia="CESI仿宋-GB2312" w:cs="CESI仿宋-GB2312"/>
          <w:i w:val="0"/>
          <w:color w:val="auto"/>
          <w:sz w:val="32"/>
          <w:szCs w:val="32"/>
          <w:highlight w:val="none"/>
          <w:lang w:eastAsia="en-US"/>
        </w:rPr>
        <w:t>。</w:t>
      </w:r>
    </w:p>
    <w:p w14:paraId="4CC1D18A">
      <w:pPr>
        <w:pStyle w:val="11"/>
        <w:keepNext w:val="0"/>
        <w:keepLines w:val="0"/>
        <w:pageBreakBefore w:val="0"/>
        <w:widowControl/>
        <w:wordWrap/>
        <w:overflowPunct/>
        <w:topLinePunct w:val="0"/>
        <w:bidi w:val="0"/>
        <w:spacing w:line="240" w:lineRule="auto"/>
        <w:ind w:firstLine="616" w:firstLineChars="200"/>
        <w:jc w:val="left"/>
        <w:rPr>
          <w:rFonts w:hint="eastAsia" w:ascii="仿宋_GB2312" w:hAnsi="仿宋_GB2312" w:eastAsia="仿宋_GB2312" w:cs="仿宋_GB2312"/>
          <w:i w:val="0"/>
          <w:color w:val="auto"/>
          <w:sz w:val="32"/>
          <w:szCs w:val="32"/>
          <w:highlight w:val="none"/>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第八条</w:t>
      </w:r>
      <w:r>
        <w:rPr>
          <w:rFonts w:hint="eastAsia" w:ascii="CESI仿宋-GB2312" w:hAnsi="CESI仿宋-GB2312" w:eastAsia="CESI仿宋-GB2312" w:cs="CESI仿宋-GB2312"/>
          <w:i w:val="0"/>
          <w:color w:val="auto"/>
          <w:sz w:val="32"/>
          <w:szCs w:val="32"/>
          <w:highlight w:val="none"/>
        </w:rPr>
        <w:t>　有下列情形之一的，不予设置烟草制品零售点：</w:t>
      </w:r>
    </w:p>
    <w:p w14:paraId="2768DA35">
      <w:pPr>
        <w:keepNext w:val="0"/>
        <w:keepLines w:val="0"/>
        <w:pageBreakBefore w:val="0"/>
        <w:widowControl w:val="0"/>
        <w:kinsoku/>
        <w:wordWrap/>
        <w:overflowPunct/>
        <w:topLinePunct w:val="0"/>
        <w:autoSpaceDE/>
        <w:autoSpaceDN/>
        <w:bidi w:val="0"/>
        <w:adjustRightInd/>
        <w:snapToGrid/>
        <w:spacing w:line="240" w:lineRule="auto"/>
        <w:ind w:left="0" w:leftChars="0" w:firstLine="618" w:firstLineChars="0"/>
        <w:jc w:val="left"/>
        <w:textAlignment w:val="auto"/>
        <w:rPr>
          <w:rFonts w:hint="default" w:ascii="CESI仿宋-GB2312" w:hAnsi="CESI仿宋-GB2312" w:eastAsia="CESI仿宋-GB2312" w:cs="CESI仿宋-GB2312"/>
          <w:i w:val="0"/>
          <w:snapToGrid w:val="0"/>
          <w:color w:val="auto"/>
          <w:spacing w:val="-6"/>
          <w:kern w:val="0"/>
          <w:sz w:val="32"/>
          <w:szCs w:val="32"/>
          <w:highlight w:val="none"/>
          <w:lang w:val="en-US" w:eastAsia="en-US" w:bidi="ar-SA"/>
        </w:rPr>
      </w:pPr>
      <w:r>
        <w:rPr>
          <w:rFonts w:hint="default" w:ascii="CESI仿宋-GB2312" w:hAnsi="CESI仿宋-GB2312" w:eastAsia="CESI仿宋-GB2312" w:cs="CESI仿宋-GB2312"/>
          <w:i w:val="0"/>
          <w:snapToGrid w:val="0"/>
          <w:color w:val="auto"/>
          <w:spacing w:val="-6"/>
          <w:kern w:val="0"/>
          <w:sz w:val="32"/>
          <w:szCs w:val="32"/>
          <w:highlight w:val="none"/>
          <w:lang w:val="en-US" w:eastAsia="en-US" w:bidi="ar-SA"/>
        </w:rPr>
        <w:t>（一）申请主体</w:t>
      </w:r>
    </w:p>
    <w:p w14:paraId="62A80EBC">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1.未成年人、无民事行为能力人及限制民事行为能力人。</w:t>
      </w:r>
    </w:p>
    <w:p w14:paraId="15A76C54">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2.外商投资的商业企业或者个体工商户，又或以特许、吸纳加盟店等其他外商再投资形式变相经营的，但国家烟草专卖行政主管部门明文规定的例外情形除外。</w:t>
      </w:r>
    </w:p>
    <w:p w14:paraId="05AEEA33">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3.取消从事烟草专卖业务资格不满三年的。</w:t>
      </w:r>
    </w:p>
    <w:p w14:paraId="1FF3B5D6">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4.因申请人隐瞒有关情况或者提供虚假材料，烟草专卖行政主管部门作出不予受理或者不予发证决定后，申请人一年内再次提出申请的。</w:t>
      </w:r>
    </w:p>
    <w:p w14:paraId="660D66AC">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5.申请人以欺骗、贿赂等不正当手段取得的烟草专卖零售许可证被撤销后，申请人三年内再次提出申请的。</w:t>
      </w:r>
    </w:p>
    <w:p w14:paraId="59FB1A97">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6.未领取烟草专卖零售许可证经营烟草制品业务，并且一年内被执法机关处罚两次以上，在三年内申请领取烟草专卖零售许可证的。</w:t>
      </w:r>
    </w:p>
    <w:p w14:paraId="51177A1F">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7.未领取烟草专卖零售许可证经营烟草制品业务被追究刑事责任，在三年内申请领取烟草专卖零售许可证的。</w:t>
      </w:r>
    </w:p>
    <w:p w14:paraId="3AD64BCF">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8.未持有合法有效的营业执照。</w:t>
      </w:r>
    </w:p>
    <w:p w14:paraId="243752E6">
      <w:pPr>
        <w:keepNext w:val="0"/>
        <w:keepLines w:val="0"/>
        <w:pageBreakBefore w:val="0"/>
        <w:widowControl w:val="0"/>
        <w:kinsoku/>
        <w:wordWrap/>
        <w:overflowPunct/>
        <w:topLinePunct w:val="0"/>
        <w:autoSpaceDE/>
        <w:autoSpaceDN/>
        <w:bidi w:val="0"/>
        <w:adjustRightInd/>
        <w:snapToGrid/>
        <w:spacing w:line="240" w:lineRule="auto"/>
        <w:ind w:left="0" w:leftChars="0" w:firstLine="618" w:firstLineChars="0"/>
        <w:jc w:val="left"/>
        <w:textAlignment w:val="auto"/>
        <w:rPr>
          <w:rFonts w:hint="default" w:ascii="CESI仿宋-GB2312" w:hAnsi="CESI仿宋-GB2312" w:eastAsia="CESI仿宋-GB2312" w:cs="CESI仿宋-GB2312"/>
          <w:i w:val="0"/>
          <w:snapToGrid w:val="0"/>
          <w:color w:val="auto"/>
          <w:spacing w:val="-6"/>
          <w:kern w:val="0"/>
          <w:sz w:val="32"/>
          <w:szCs w:val="32"/>
          <w:highlight w:val="none"/>
          <w:lang w:val="en-US" w:eastAsia="en-US" w:bidi="ar-SA"/>
        </w:rPr>
      </w:pPr>
      <w:r>
        <w:rPr>
          <w:rFonts w:hint="default" w:ascii="CESI仿宋-GB2312" w:hAnsi="CESI仿宋-GB2312" w:eastAsia="CESI仿宋-GB2312" w:cs="CESI仿宋-GB2312"/>
          <w:i w:val="0"/>
          <w:snapToGrid w:val="0"/>
          <w:color w:val="auto"/>
          <w:spacing w:val="-6"/>
          <w:kern w:val="0"/>
          <w:sz w:val="32"/>
          <w:szCs w:val="32"/>
          <w:highlight w:val="none"/>
          <w:lang w:val="en-US" w:eastAsia="en-US" w:bidi="ar-SA"/>
        </w:rPr>
        <w:t>（二）经营场所</w:t>
      </w:r>
    </w:p>
    <w:p w14:paraId="69EE122C">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1.无固定经营场所是指如流动摊点（车、棚、柜）、违章建筑、临时建筑、集装箱屋、危房以及尚未竣工或未交付使用的场所等；</w:t>
      </w:r>
    </w:p>
    <w:p w14:paraId="1B578169">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2.与住所不相独立的经营场所是指如住宅公寓、仓库、生活住所的车库、地下室、储藏室等未对消费者全开放的场所等；</w:t>
      </w:r>
    </w:p>
    <w:p w14:paraId="388759CD">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3.经营场所基于安全因素不适宜经营烟草制品，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14:paraId="35BB2056">
      <w:pPr>
        <w:keepNext w:val="0"/>
        <w:keepLines w:val="0"/>
        <w:pageBreakBefore w:val="0"/>
        <w:widowControl w:val="0"/>
        <w:kinsoku/>
        <w:wordWrap/>
        <w:overflowPunct/>
        <w:topLinePunct w:val="0"/>
        <w:autoSpaceDE/>
        <w:autoSpaceDN/>
        <w:bidi w:val="0"/>
        <w:adjustRightInd/>
        <w:snapToGrid/>
        <w:spacing w:line="240" w:lineRule="auto"/>
        <w:ind w:firstLine="618" w:firstLineChars="0"/>
        <w:jc w:val="left"/>
        <w:textAlignment w:val="auto"/>
        <w:rPr>
          <w:rStyle w:val="20"/>
          <w:rFonts w:hint="default" w:ascii="楷体" w:hAnsi="楷体" w:eastAsia="楷体_GB2312" w:cs="楷体"/>
          <w:b w:val="0"/>
          <w:bCs w:val="0"/>
          <w:color w:val="auto"/>
          <w:spacing w:val="-6"/>
          <w:sz w:val="32"/>
          <w:szCs w:val="32"/>
          <w:highlight w:val="none"/>
          <w:lang w:val="en-US" w:eastAsia="en-US"/>
        </w:rPr>
      </w:pPr>
      <w:r>
        <w:rPr>
          <w:rFonts w:hint="default" w:ascii="CESI仿宋-GB2312" w:hAnsi="CESI仿宋-GB2312" w:eastAsia="CESI仿宋-GB2312" w:cs="CESI仿宋-GB2312"/>
          <w:i w:val="0"/>
          <w:snapToGrid w:val="0"/>
          <w:color w:val="auto"/>
          <w:spacing w:val="-6"/>
          <w:kern w:val="0"/>
          <w:sz w:val="32"/>
          <w:szCs w:val="32"/>
          <w:highlight w:val="none"/>
          <w:lang w:val="en-US" w:eastAsia="en-US" w:bidi="ar-SA"/>
        </w:rPr>
        <w:t>（三）经营模式</w:t>
      </w:r>
    </w:p>
    <w:p w14:paraId="3BC59565">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1.利用自动售货机或其他自动售货形式，销售或者变相销售烟草制品的（含无人现场值守的自助商店）。</w:t>
      </w:r>
    </w:p>
    <w:p w14:paraId="13FE1F9B">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2.利用信息网络渠道销售烟草制品的。</w:t>
      </w:r>
    </w:p>
    <w:p w14:paraId="7F5853C3">
      <w:pPr>
        <w:keepNext w:val="0"/>
        <w:keepLines w:val="0"/>
        <w:pageBreakBefore w:val="0"/>
        <w:widowControl w:val="0"/>
        <w:kinsoku/>
        <w:wordWrap/>
        <w:overflowPunct/>
        <w:topLinePunct w:val="0"/>
        <w:autoSpaceDE/>
        <w:autoSpaceDN/>
        <w:bidi w:val="0"/>
        <w:adjustRightInd/>
        <w:snapToGrid/>
        <w:spacing w:line="240" w:lineRule="auto"/>
        <w:ind w:left="0" w:leftChars="0" w:firstLine="618" w:firstLineChars="0"/>
        <w:jc w:val="left"/>
        <w:textAlignment w:val="auto"/>
        <w:rPr>
          <w:rStyle w:val="20"/>
          <w:rFonts w:hint="default" w:eastAsia="楷体_GB2312" w:cs="仿宋_GB2312"/>
          <w:i w:val="0"/>
          <w:color w:val="auto"/>
          <w:spacing w:val="-6"/>
          <w:sz w:val="32"/>
          <w:szCs w:val="32"/>
          <w:highlight w:val="none"/>
          <w:lang w:eastAsia="en-US"/>
        </w:rPr>
      </w:pPr>
      <w:r>
        <w:rPr>
          <w:rFonts w:hint="default" w:ascii="CESI仿宋-GB2312" w:hAnsi="CESI仿宋-GB2312" w:eastAsia="CESI仿宋-GB2312" w:cs="CESI仿宋-GB2312"/>
          <w:i w:val="0"/>
          <w:snapToGrid w:val="0"/>
          <w:color w:val="auto"/>
          <w:spacing w:val="-6"/>
          <w:kern w:val="0"/>
          <w:sz w:val="32"/>
          <w:szCs w:val="32"/>
          <w:highlight w:val="none"/>
          <w:lang w:val="en-US" w:eastAsia="en-US" w:bidi="ar-SA"/>
        </w:rPr>
        <w:t>（四）特殊区域</w:t>
      </w:r>
    </w:p>
    <w:p w14:paraId="0F0B724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1.</w:t>
      </w:r>
      <w:r>
        <w:rPr>
          <w:rFonts w:hint="eastAsia" w:ascii="CESI仿宋-GB2312" w:hAnsi="CESI仿宋-GB2312" w:eastAsia="CESI仿宋-GB2312" w:cs="CESI仿宋-GB2312"/>
          <w:i w:val="0"/>
          <w:color w:val="auto"/>
          <w:sz w:val="32"/>
          <w:szCs w:val="32"/>
          <w:highlight w:val="none"/>
        </w:rPr>
        <w:t>位于</w:t>
      </w:r>
      <w:r>
        <w:rPr>
          <w:rFonts w:hint="eastAsia" w:ascii="CESI仿宋-GB2312" w:hAnsi="CESI仿宋-GB2312" w:eastAsia="CESI仿宋-GB2312" w:cs="CESI仿宋-GB2312"/>
          <w:i w:val="0"/>
          <w:color w:val="auto"/>
          <w:sz w:val="32"/>
          <w:szCs w:val="32"/>
          <w:highlight w:val="none"/>
          <w:lang w:eastAsia="zh-CN"/>
        </w:rPr>
        <w:t>和布克赛尔镇、和什托洛盖镇、</w:t>
      </w:r>
      <w:r>
        <w:rPr>
          <w:rFonts w:hint="eastAsia" w:ascii="CESI仿宋-GB2312" w:hAnsi="CESI仿宋-GB2312" w:eastAsia="CESI仿宋-GB2312" w:cs="CESI仿宋-GB2312"/>
          <w:i w:val="0"/>
          <w:color w:val="auto"/>
          <w:sz w:val="32"/>
          <w:szCs w:val="32"/>
          <w:highlight w:val="none"/>
          <w:lang w:val="en-US" w:eastAsia="zh-CN"/>
        </w:rPr>
        <w:t>184团团部区域的普通</w:t>
      </w:r>
      <w:r>
        <w:rPr>
          <w:rFonts w:hint="eastAsia" w:ascii="CESI仿宋-GB2312" w:hAnsi="CESI仿宋-GB2312" w:eastAsia="CESI仿宋-GB2312" w:cs="CESI仿宋-GB2312"/>
          <w:i w:val="0"/>
          <w:color w:val="auto"/>
          <w:sz w:val="32"/>
          <w:szCs w:val="32"/>
          <w:highlight w:val="none"/>
        </w:rPr>
        <w:t>中小学校、中等职业学校、特殊教育学校、专门学校及幼儿园等以未成年人为教育对象的机构内部及出入口（门）</w:t>
      </w:r>
      <w:r>
        <w:rPr>
          <w:rFonts w:hint="eastAsia" w:ascii="CESI仿宋-GB2312" w:hAnsi="CESI仿宋-GB2312" w:eastAsia="CESI仿宋-GB2312" w:cs="CESI仿宋-GB2312"/>
          <w:i w:val="0"/>
          <w:color w:val="auto"/>
          <w:sz w:val="32"/>
          <w:szCs w:val="32"/>
          <w:highlight w:val="none"/>
          <w:lang w:val="en-US" w:eastAsia="zh-CN"/>
        </w:rPr>
        <w:t>100</w:t>
      </w:r>
      <w:r>
        <w:rPr>
          <w:rFonts w:hint="eastAsia" w:ascii="CESI仿宋-GB2312" w:hAnsi="CESI仿宋-GB2312" w:eastAsia="CESI仿宋-GB2312" w:cs="CESI仿宋-GB2312"/>
          <w:i w:val="0"/>
          <w:color w:val="auto"/>
          <w:sz w:val="32"/>
          <w:szCs w:val="32"/>
          <w:highlight w:val="none"/>
        </w:rPr>
        <w:t>米范围内的</w:t>
      </w:r>
      <w:r>
        <w:rPr>
          <w:rFonts w:hint="eastAsia" w:ascii="CESI仿宋-GB2312" w:hAnsi="CESI仿宋-GB2312" w:eastAsia="CESI仿宋-GB2312" w:cs="CESI仿宋-GB2312"/>
          <w:i w:val="0"/>
          <w:color w:val="auto"/>
          <w:sz w:val="32"/>
          <w:szCs w:val="32"/>
          <w:highlight w:val="none"/>
          <w:lang w:val="en-US" w:eastAsia="zh-CN"/>
        </w:rPr>
        <w:t>经营场所</w:t>
      </w:r>
      <w:r>
        <w:rPr>
          <w:rFonts w:hint="eastAsia" w:ascii="CESI仿宋-GB2312" w:hAnsi="CESI仿宋-GB2312" w:eastAsia="CESI仿宋-GB2312" w:cs="CESI仿宋-GB2312"/>
          <w:i w:val="0"/>
          <w:color w:val="auto"/>
          <w:sz w:val="32"/>
          <w:szCs w:val="32"/>
          <w:highlight w:val="none"/>
          <w:lang w:eastAsia="zh-CN"/>
        </w:rPr>
        <w:t>，其他区域的普通</w:t>
      </w:r>
      <w:r>
        <w:rPr>
          <w:rFonts w:hint="eastAsia" w:ascii="CESI仿宋-GB2312" w:hAnsi="CESI仿宋-GB2312" w:eastAsia="CESI仿宋-GB2312" w:cs="CESI仿宋-GB2312"/>
          <w:i w:val="0"/>
          <w:color w:val="auto"/>
          <w:sz w:val="32"/>
          <w:szCs w:val="32"/>
          <w:highlight w:val="none"/>
        </w:rPr>
        <w:t>中小学校、中等职业学校、特殊教育学校、专门学校及幼儿园等以未成年人为教育对象的机构内部及出入口（门）</w:t>
      </w:r>
      <w:r>
        <w:rPr>
          <w:rFonts w:hint="eastAsia" w:ascii="CESI仿宋-GB2312" w:hAnsi="CESI仿宋-GB2312" w:eastAsia="CESI仿宋-GB2312" w:cs="CESI仿宋-GB2312"/>
          <w:i w:val="0"/>
          <w:color w:val="auto"/>
          <w:sz w:val="32"/>
          <w:szCs w:val="32"/>
          <w:highlight w:val="none"/>
          <w:lang w:val="en-US" w:eastAsia="zh-CN"/>
        </w:rPr>
        <w:t>50</w:t>
      </w:r>
      <w:r>
        <w:rPr>
          <w:rFonts w:hint="eastAsia" w:ascii="CESI仿宋-GB2312" w:hAnsi="CESI仿宋-GB2312" w:eastAsia="CESI仿宋-GB2312" w:cs="CESI仿宋-GB2312"/>
          <w:i w:val="0"/>
          <w:color w:val="auto"/>
          <w:sz w:val="32"/>
          <w:szCs w:val="32"/>
          <w:highlight w:val="none"/>
        </w:rPr>
        <w:t>米</w:t>
      </w:r>
      <w:r>
        <w:rPr>
          <w:rFonts w:hint="eastAsia" w:ascii="CESI仿宋-GB2312" w:hAnsi="CESI仿宋-GB2312" w:eastAsia="CESI仿宋-GB2312" w:cs="CESI仿宋-GB2312"/>
          <w:i w:val="0"/>
          <w:color w:val="auto"/>
          <w:sz w:val="32"/>
          <w:szCs w:val="32"/>
          <w:highlight w:val="none"/>
          <w:lang w:eastAsia="zh-CN"/>
        </w:rPr>
        <w:t>范围内的</w:t>
      </w:r>
      <w:r>
        <w:rPr>
          <w:rFonts w:hint="eastAsia" w:ascii="CESI仿宋-GB2312" w:hAnsi="CESI仿宋-GB2312" w:eastAsia="CESI仿宋-GB2312" w:cs="CESI仿宋-GB2312"/>
          <w:i w:val="0"/>
          <w:color w:val="auto"/>
          <w:sz w:val="32"/>
          <w:szCs w:val="32"/>
          <w:highlight w:val="none"/>
          <w:lang w:val="en-US" w:eastAsia="zh-CN"/>
        </w:rPr>
        <w:t>经营场所</w:t>
      </w:r>
      <w:r>
        <w:rPr>
          <w:rFonts w:hint="eastAsia" w:ascii="CESI仿宋-GB2312" w:hAnsi="CESI仿宋-GB2312" w:eastAsia="CESI仿宋-GB2312" w:cs="CESI仿宋-GB2312"/>
          <w:i w:val="0"/>
          <w:color w:val="auto"/>
          <w:sz w:val="32"/>
          <w:szCs w:val="32"/>
          <w:highlight w:val="none"/>
          <w:lang w:eastAsia="zh-CN"/>
        </w:rPr>
        <w:t>。</w:t>
      </w:r>
    </w:p>
    <w:p w14:paraId="08728566">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val="en-US" w:eastAsia="zh-CN"/>
        </w:rPr>
        <w:t>2.</w:t>
      </w:r>
      <w:r>
        <w:rPr>
          <w:rFonts w:hint="eastAsia" w:ascii="CESI仿宋-GB2312" w:hAnsi="CESI仿宋-GB2312" w:eastAsia="CESI仿宋-GB2312" w:cs="CESI仿宋-GB2312"/>
          <w:i w:val="0"/>
          <w:color w:val="auto"/>
          <w:sz w:val="32"/>
          <w:szCs w:val="32"/>
          <w:highlight w:val="none"/>
        </w:rPr>
        <w:t>经营场所位于国家机关、党政机关、政务服务中心、公共资源交易中心</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lang w:val="en-US" w:eastAsia="zh-CN"/>
        </w:rPr>
        <w:t>医疗卫生机构内部</w:t>
      </w:r>
      <w:r>
        <w:rPr>
          <w:rFonts w:hint="eastAsia" w:ascii="CESI仿宋-GB2312" w:hAnsi="CESI仿宋-GB2312" w:eastAsia="CESI仿宋-GB2312" w:cs="CESI仿宋-GB2312"/>
          <w:i w:val="0"/>
          <w:color w:val="auto"/>
          <w:sz w:val="32"/>
          <w:szCs w:val="32"/>
          <w:highlight w:val="none"/>
        </w:rPr>
        <w:t>等明文规定不得设置零售点的场所</w:t>
      </w:r>
      <w:r>
        <w:rPr>
          <w:rFonts w:hint="eastAsia" w:ascii="CESI仿宋-GB2312" w:hAnsi="CESI仿宋-GB2312" w:eastAsia="CESI仿宋-GB2312" w:cs="CESI仿宋-GB2312"/>
          <w:i w:val="0"/>
          <w:color w:val="auto"/>
          <w:sz w:val="32"/>
          <w:szCs w:val="32"/>
          <w:highlight w:val="none"/>
          <w:lang w:eastAsia="zh-CN"/>
        </w:rPr>
        <w:t>。</w:t>
      </w:r>
    </w:p>
    <w:p w14:paraId="7ABDF6AB">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3.主营业务属于专业性较强、与烟草制品零售业务无直接或间接互补营销关系的经营业态。包括但不限于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服务中介机构、服装针织店等。</w:t>
      </w:r>
    </w:p>
    <w:p w14:paraId="3C3EC619">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4.法律、法规、规章和国家烟草专卖局规定的其他不予发证的情形，以及当地烟草专卖局依照规定设定的不予设置零售点的其他情形。</w:t>
      </w:r>
    </w:p>
    <w:p w14:paraId="4615AD9F">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color w:val="auto"/>
          <w:sz w:val="32"/>
          <w:szCs w:val="32"/>
          <w:highlight w:val="none"/>
        </w:rPr>
      </w:pPr>
      <w:r>
        <w:rPr>
          <w:color w:val="auto"/>
          <w:sz w:val="32"/>
          <w:szCs w:val="32"/>
          <w:highlight w:val="none"/>
        </w:rPr>
        <w:t>第</w:t>
      </w:r>
      <w:r>
        <w:rPr>
          <w:rFonts w:hint="eastAsia"/>
          <w:color w:val="auto"/>
          <w:sz w:val="32"/>
          <w:szCs w:val="32"/>
          <w:highlight w:val="none"/>
          <w:lang w:val="en-US" w:eastAsia="zh-CN"/>
        </w:rPr>
        <w:t>三</w:t>
      </w:r>
      <w:r>
        <w:rPr>
          <w:color w:val="auto"/>
          <w:sz w:val="32"/>
          <w:szCs w:val="32"/>
          <w:highlight w:val="none"/>
        </w:rPr>
        <w:t>章　放宽情形</w:t>
      </w:r>
    </w:p>
    <w:p w14:paraId="408EE5A6">
      <w:pPr>
        <w:pStyle w:val="15"/>
        <w:keepNext w:val="0"/>
        <w:keepLines w:val="0"/>
        <w:pageBreakBefore w:val="0"/>
        <w:widowControl/>
        <w:suppressLineNumbers w:val="0"/>
        <w:shd w:val="clear" w:fill="FFFFFF"/>
        <w:wordWrap/>
        <w:overflowPunct/>
        <w:topLinePunct w:val="0"/>
        <w:autoSpaceDE/>
        <w:autoSpaceDN/>
        <w:bidi w:val="0"/>
        <w:spacing w:before="0" w:beforeAutospacing="0" w:after="0" w:afterAutospacing="0" w:line="240" w:lineRule="auto"/>
        <w:ind w:left="0" w:right="0"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en-US" w:bidi="ar-SA"/>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第九条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符合下列情形之一的，数量不予放宽，间隔距离放宽50%（计算结果</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按照“四舍五入”取整数</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核定）：</w:t>
      </w:r>
    </w:p>
    <w:p w14:paraId="5386662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（一）持有三级以上（含三级）残疾人证（含视力残疾、听力残疾、言语残疾或肢体残疾）的个体工商户，本人首次申请办理烟草专卖零售许可证；</w:t>
      </w:r>
    </w:p>
    <w:p w14:paraId="72D04C3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（二）持有本县户籍且两年内未落实就业的退役军人，本人首次申请办理烟草专卖零售许可证；</w:t>
      </w:r>
    </w:p>
    <w:p w14:paraId="7014D49B">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（三）国家或当地政府明文规定给予政策扶持并经属地烟草专卖局集体研究认为可以扶持照顾的对象。</w:t>
      </w:r>
    </w:p>
    <w:p w14:paraId="0AAB4E17">
      <w:pPr>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（四）因道路规划、城市建设、房屋征收等客观原因造成无法在核定经营场所经营，持证人在6个月内申请变更到原发证机关辖区内其他地址经营的；</w:t>
      </w:r>
    </w:p>
    <w:p w14:paraId="01B5B753">
      <w:pPr>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（五）因中小学、幼儿园新建、改造导致的先店后校、先店后门等情况，以及合理布局规划修订等客观原因造成零售点不符合相关要求的，持证人在6个月内申请变更到原发证机关辖区内其他地址经营的；</w:t>
      </w:r>
    </w:p>
    <w:p w14:paraId="3FDBC2D1">
      <w:pPr>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六）非家庭经营的个体工商户，两年内无涉烟违法记录，因持证人死亡或者丧失民事行为能力，烟草专卖零售许可证被依法注销后30个自然日内，原持证人的家庭成员（具有完全民事行为能力的配偶、父母、子女）在原经营场所提出新办申请的。</w:t>
      </w:r>
    </w:p>
    <w:p w14:paraId="563C1A41">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i w:val="0"/>
          <w:color w:val="auto"/>
          <w:sz w:val="32"/>
          <w:szCs w:val="32"/>
          <w:highlight w:val="none"/>
        </w:rPr>
      </w:pP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以上情形对经营场所基于安全要求及中小学、幼儿园周围的限制规定等不得放宽。申请人须具备完全民事行为能力。</w:t>
      </w:r>
    </w:p>
    <w:p w14:paraId="3E4153B2">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b/>
          <w:i w:val="0"/>
          <w:color w:val="auto"/>
          <w:sz w:val="32"/>
          <w:szCs w:val="32"/>
          <w:highlight w:val="none"/>
          <w:lang w:val="en-US" w:eastAsia="zh-CN"/>
        </w:rPr>
        <w:t>第十条</w:t>
      </w:r>
      <w:r>
        <w:rPr>
          <w:rFonts w:hint="eastAsia" w:ascii="CESI仿宋-GB2312" w:hAnsi="CESI仿宋-GB2312" w:eastAsia="CESI仿宋-GB2312" w:cs="CESI仿宋-GB2312"/>
          <w:i w:val="0"/>
          <w:color w:val="auto"/>
          <w:sz w:val="32"/>
          <w:szCs w:val="32"/>
          <w:highlight w:val="none"/>
        </w:rPr>
        <w:t>　符合下列情形之一的，不受</w:t>
      </w:r>
      <w:r>
        <w:rPr>
          <w:rFonts w:hint="eastAsia" w:ascii="CESI仿宋-GB2312" w:hAnsi="CESI仿宋-GB2312" w:eastAsia="CESI仿宋-GB2312" w:cs="CESI仿宋-GB2312"/>
          <w:i w:val="0"/>
          <w:color w:val="auto"/>
          <w:sz w:val="32"/>
          <w:szCs w:val="32"/>
          <w:highlight w:val="none"/>
          <w:lang w:eastAsia="zh-CN"/>
        </w:rPr>
        <w:t>数量</w:t>
      </w:r>
      <w:r>
        <w:rPr>
          <w:rFonts w:hint="eastAsia" w:ascii="CESI仿宋-GB2312" w:hAnsi="CESI仿宋-GB2312" w:eastAsia="CESI仿宋-GB2312" w:cs="CESI仿宋-GB2312"/>
          <w:i w:val="0"/>
          <w:color w:val="auto"/>
          <w:sz w:val="32"/>
          <w:szCs w:val="32"/>
          <w:highlight w:val="none"/>
        </w:rPr>
        <w:t>和</w:t>
      </w:r>
      <w:r>
        <w:rPr>
          <w:rFonts w:hint="eastAsia" w:ascii="CESI仿宋-GB2312" w:hAnsi="CESI仿宋-GB2312" w:eastAsia="CESI仿宋-GB2312" w:cs="CESI仿宋-GB2312"/>
          <w:i w:val="0"/>
          <w:color w:val="auto"/>
          <w:sz w:val="32"/>
          <w:szCs w:val="32"/>
          <w:highlight w:val="none"/>
          <w:lang w:eastAsia="zh-CN"/>
        </w:rPr>
        <w:t>间隔距离</w:t>
      </w:r>
      <w:r>
        <w:rPr>
          <w:rFonts w:hint="eastAsia" w:ascii="CESI仿宋-GB2312" w:hAnsi="CESI仿宋-GB2312" w:eastAsia="CESI仿宋-GB2312" w:cs="CESI仿宋-GB2312"/>
          <w:i w:val="0"/>
          <w:color w:val="auto"/>
          <w:sz w:val="32"/>
          <w:szCs w:val="32"/>
          <w:highlight w:val="none"/>
        </w:rPr>
        <w:t>限制</w:t>
      </w:r>
      <w:r>
        <w:rPr>
          <w:rFonts w:hint="eastAsia" w:ascii="CESI仿宋-GB2312" w:hAnsi="CESI仿宋-GB2312" w:eastAsia="CESI仿宋-GB2312" w:cs="CESI仿宋-GB2312"/>
          <w:i w:val="0"/>
          <w:color w:val="auto"/>
          <w:sz w:val="32"/>
          <w:szCs w:val="32"/>
          <w:highlight w:val="none"/>
          <w:lang w:eastAsia="zh-CN"/>
        </w:rPr>
        <w:t>：</w:t>
      </w:r>
    </w:p>
    <w:p w14:paraId="4510DAF4">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（一）属于军烈属（含烈士遗属、因公牺牲军人遗属等）、残疾军人的个体工商户，</w:t>
      </w:r>
      <w:r>
        <w:rPr>
          <w:rFonts w:hint="eastAsia" w:ascii="CESI仿宋-GB2312" w:hAnsi="CESI仿宋-GB2312" w:eastAsia="CESI仿宋-GB2312" w:cs="CESI仿宋-GB2312"/>
          <w:i w:val="0"/>
          <w:color w:val="auto"/>
          <w:sz w:val="32"/>
          <w:szCs w:val="32"/>
          <w:highlight w:val="none"/>
          <w:lang w:eastAsia="zh-CN"/>
        </w:rPr>
        <w:t>本人首次申请办理烟草专卖零售许可证的，不受数量和间隔距离限制，仅限享受一次。军烈属身份参照《烈士褒扬条例》认定。残疾军人身份需经退役军人事务部门核实。</w:t>
      </w:r>
    </w:p>
    <w:p w14:paraId="7123AE42">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（二）《警民共建、从优待警、惠警帮扶合作备忘录》《新疆维吾尔自治区烟草专卖局 自治区公安厅特侦队警民共建、从优待警、惠警帮扶合作备忘录》等制度规定的情形。</w:t>
      </w:r>
      <w:r>
        <w:rPr>
          <w:rFonts w:hint="eastAsia" w:ascii="CESI仿宋-GB2312" w:hAnsi="CESI仿宋-GB2312" w:eastAsia="CESI仿宋-GB2312" w:cs="CESI仿宋-GB2312"/>
          <w:i w:val="0"/>
          <w:color w:val="auto"/>
          <w:sz w:val="32"/>
          <w:szCs w:val="32"/>
          <w:highlight w:val="none"/>
          <w:lang w:eastAsia="zh-CN"/>
        </w:rPr>
        <w:t>本人首次申请办理烟草专卖零售许可证的，不受数量和间隔距离限制，仅限享受一次。</w:t>
      </w:r>
    </w:p>
    <w:p w14:paraId="2BE0D1A2">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color w:val="auto"/>
          <w:highlight w:val="none"/>
          <w:lang w:eastAsia="zh-CN"/>
        </w:rPr>
      </w:pPr>
      <w:r>
        <w:rPr>
          <w:rFonts w:hint="eastAsia" w:ascii="CESI仿宋-GB2312" w:hAnsi="CESI仿宋-GB2312" w:eastAsia="CESI仿宋-GB2312" w:cs="CESI仿宋-GB2312"/>
          <w:i w:val="0"/>
          <w:color w:val="auto"/>
          <w:sz w:val="32"/>
          <w:szCs w:val="32"/>
          <w:highlight w:val="none"/>
          <w:lang w:eastAsia="zh-CN"/>
        </w:rPr>
        <w:t>以上情形对经营场所基于安全要求及中小学、幼儿园周围的限制规定等不得放宽。申请人须具备完全民事行为能力。</w:t>
      </w:r>
    </w:p>
    <w:p w14:paraId="601D2881">
      <w:pPr>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snapToGrid w:val="0"/>
          <w:color w:val="auto"/>
          <w:spacing w:val="-6"/>
          <w:kern w:val="0"/>
          <w:sz w:val="32"/>
          <w:szCs w:val="32"/>
          <w:highlight w:val="none"/>
          <w:lang w:val="en-US" w:eastAsia="zh-CN" w:bidi="ar-SA"/>
        </w:rPr>
      </w:pP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第十一条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申请烟草专卖零售许可范围仅为</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雪茄烟本店零</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售”</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的零售点，不划定市场单元，不受</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间隔距离</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限制，采取数量限制模式</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雪茄烟专营店指导数由</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和布克赛尔蒙古自治</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县烟草专卖局根据辖区人口数量结构、经济发展水平、雪茄烟消费特点和市场需求等因素设定并进行动态调整，原则上不超过上年度本辖区烟草制品零售点总数的千分之五</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达到指导数上限的，按</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照“退一进一”原</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则办理。雪茄烟专营店申请增加或调整为卷烟零售的，应当申请变更许可范围，且须符合卷烟零售点布局规划要求。雪茄烟专营店与非雪茄烟专营店之间，互不作为零售点数量、</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间隔距离</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的参照物。</w:t>
      </w:r>
    </w:p>
    <w:p w14:paraId="796442DD">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color w:val="auto"/>
          <w:sz w:val="32"/>
          <w:szCs w:val="32"/>
          <w:highlight w:val="none"/>
        </w:rPr>
      </w:pPr>
      <w:r>
        <w:rPr>
          <w:color w:val="auto"/>
          <w:sz w:val="32"/>
          <w:szCs w:val="32"/>
          <w:highlight w:val="none"/>
        </w:rPr>
        <w:t>第</w:t>
      </w:r>
      <w:r>
        <w:rPr>
          <w:rFonts w:hint="eastAsia"/>
          <w:color w:val="auto"/>
          <w:sz w:val="32"/>
          <w:szCs w:val="32"/>
          <w:highlight w:val="none"/>
          <w:lang w:val="en-US" w:eastAsia="zh-CN"/>
        </w:rPr>
        <w:t>四</w:t>
      </w:r>
      <w:r>
        <w:rPr>
          <w:color w:val="auto"/>
          <w:sz w:val="32"/>
          <w:szCs w:val="32"/>
          <w:highlight w:val="none"/>
        </w:rPr>
        <w:t>章　其他标准</w:t>
      </w:r>
    </w:p>
    <w:p w14:paraId="460C2433">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i w:val="0"/>
          <w:color w:val="auto"/>
          <w:sz w:val="32"/>
          <w:szCs w:val="32"/>
          <w:highlight w:val="none"/>
        </w:rPr>
      </w:pPr>
      <w:r>
        <w:rPr>
          <w:rFonts w:hint="eastAsia" w:ascii="CESI仿宋-GB2312" w:hAnsi="CESI仿宋-GB2312" w:eastAsia="CESI仿宋-GB2312" w:cs="CESI仿宋-GB2312"/>
          <w:b/>
          <w:i w:val="0"/>
          <w:color w:val="auto"/>
          <w:sz w:val="32"/>
          <w:szCs w:val="32"/>
          <w:highlight w:val="none"/>
          <w:lang w:val="en-US" w:eastAsia="zh-CN"/>
        </w:rPr>
        <w:t>第十二条</w:t>
      </w:r>
      <w:r>
        <w:rPr>
          <w:rFonts w:hint="eastAsia" w:ascii="CESI仿宋-GB2312" w:hAnsi="CESI仿宋-GB2312" w:eastAsia="CESI仿宋-GB2312" w:cs="CESI仿宋-GB2312"/>
          <w:i w:val="0"/>
          <w:color w:val="auto"/>
          <w:sz w:val="32"/>
          <w:szCs w:val="32"/>
          <w:highlight w:val="none"/>
        </w:rPr>
        <w:t>　零售点布局规划数量实行定期评价、动态管理。调整后的网格属性、网格零售点</w:t>
      </w:r>
      <w:r>
        <w:rPr>
          <w:rFonts w:hint="eastAsia" w:ascii="CESI仿宋-GB2312" w:hAnsi="CESI仿宋-GB2312" w:eastAsia="CESI仿宋-GB2312" w:cs="CESI仿宋-GB2312"/>
          <w:i w:val="0"/>
          <w:color w:val="auto"/>
          <w:sz w:val="32"/>
          <w:szCs w:val="32"/>
          <w:highlight w:val="none"/>
          <w:lang w:eastAsia="zh-CN"/>
        </w:rPr>
        <w:t>数量</w:t>
      </w:r>
      <w:r>
        <w:rPr>
          <w:rFonts w:hint="eastAsia" w:ascii="CESI仿宋-GB2312" w:hAnsi="CESI仿宋-GB2312" w:eastAsia="CESI仿宋-GB2312" w:cs="CESI仿宋-GB2312"/>
          <w:i w:val="0"/>
          <w:color w:val="auto"/>
          <w:sz w:val="32"/>
          <w:szCs w:val="32"/>
          <w:highlight w:val="none"/>
        </w:rPr>
        <w:t>等数据，应当</w:t>
      </w:r>
      <w:r>
        <w:rPr>
          <w:rFonts w:hint="eastAsia" w:ascii="CESI仿宋-GB2312" w:hAnsi="CESI仿宋-GB2312" w:eastAsia="CESI仿宋-GB2312" w:cs="CESI仿宋-GB2312"/>
          <w:i w:val="0"/>
          <w:color w:val="auto"/>
          <w:sz w:val="32"/>
          <w:szCs w:val="32"/>
          <w:highlight w:val="none"/>
          <w:lang w:val="en-US" w:eastAsia="zh-CN"/>
        </w:rPr>
        <w:t>通过“新烟政务通”平台、政务服务大厅等渠道对外公示后实施</w:t>
      </w:r>
      <w:r>
        <w:rPr>
          <w:rFonts w:hint="eastAsia" w:ascii="CESI仿宋-GB2312" w:hAnsi="CESI仿宋-GB2312" w:eastAsia="CESI仿宋-GB2312" w:cs="CESI仿宋-GB2312"/>
          <w:i w:val="0"/>
          <w:color w:val="auto"/>
          <w:sz w:val="32"/>
          <w:szCs w:val="32"/>
          <w:highlight w:val="none"/>
        </w:rPr>
        <w:t>。</w:t>
      </w:r>
    </w:p>
    <w:p w14:paraId="06F50934">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b/>
          <w:i w:val="0"/>
          <w:color w:val="auto"/>
          <w:sz w:val="32"/>
          <w:szCs w:val="32"/>
          <w:highlight w:val="none"/>
          <w:lang w:val="en-US" w:eastAsia="zh-CN"/>
        </w:rPr>
        <w:t>第十三条</w:t>
      </w:r>
      <w:r>
        <w:rPr>
          <w:rFonts w:hint="eastAsia" w:ascii="CESI仿宋-GB2312" w:hAnsi="CESI仿宋-GB2312" w:eastAsia="CESI仿宋-GB2312" w:cs="CESI仿宋-GB2312"/>
          <w:i w:val="0"/>
          <w:color w:val="auto"/>
          <w:sz w:val="32"/>
          <w:szCs w:val="32"/>
          <w:highlight w:val="none"/>
        </w:rPr>
        <w:t>　间隔距离测量标准：</w:t>
      </w:r>
    </w:p>
    <w:p w14:paraId="45E68D1E">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（一）</w:t>
      </w:r>
      <w:r>
        <w:rPr>
          <w:rFonts w:hint="eastAsia" w:ascii="CESI仿宋-GB2312" w:hAnsi="CESI仿宋-GB2312" w:eastAsia="CESI仿宋-GB2312" w:cs="CESI仿宋-GB2312"/>
          <w:i w:val="0"/>
          <w:color w:val="auto"/>
          <w:sz w:val="32"/>
          <w:szCs w:val="32"/>
          <w:highlight w:val="none"/>
        </w:rPr>
        <w:t>测量工具：测量工具应当符合国家统一标准，以测距仪、卷尺、皮尺等工具为主。</w:t>
      </w:r>
    </w:p>
    <w:p w14:paraId="7618755E">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（二）</w:t>
      </w:r>
      <w:r>
        <w:rPr>
          <w:rFonts w:hint="eastAsia" w:ascii="CESI仿宋-GB2312" w:hAnsi="CESI仿宋-GB2312" w:eastAsia="CESI仿宋-GB2312" w:cs="CESI仿宋-GB2312"/>
          <w:i w:val="0"/>
          <w:color w:val="auto"/>
          <w:sz w:val="32"/>
          <w:szCs w:val="32"/>
          <w:highlight w:val="none"/>
        </w:rPr>
        <w:t>测量人员：间隔距离测量由两名以上（含两名）具有执法资格的烟草专卖执法人员共同实施，测量全过程使用执法记录仪记录。</w:t>
      </w:r>
    </w:p>
    <w:p w14:paraId="6B8EBB2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（三）</w:t>
      </w:r>
      <w:r>
        <w:rPr>
          <w:rFonts w:hint="eastAsia" w:ascii="CESI仿宋-GB2312" w:hAnsi="CESI仿宋-GB2312" w:eastAsia="CESI仿宋-GB2312" w:cs="CESI仿宋-GB2312"/>
          <w:i w:val="0"/>
          <w:color w:val="auto"/>
          <w:sz w:val="32"/>
          <w:szCs w:val="32"/>
          <w:highlight w:val="none"/>
        </w:rPr>
        <w:t>基本原则：根据《中华人民共和国道路交通安全法》相关规定，按照交通规则行人可通行最短</w:t>
      </w:r>
      <w:r>
        <w:rPr>
          <w:rFonts w:hint="eastAsia" w:ascii="CESI仿宋-GB2312" w:hAnsi="CESI仿宋-GB2312" w:eastAsia="CESI仿宋-GB2312" w:cs="CESI仿宋-GB2312"/>
          <w:i w:val="0"/>
          <w:color w:val="auto"/>
          <w:sz w:val="32"/>
          <w:szCs w:val="32"/>
          <w:highlight w:val="none"/>
          <w:lang w:val="en-US" w:eastAsia="zh-CN"/>
        </w:rPr>
        <w:t>安全</w:t>
      </w:r>
      <w:r>
        <w:rPr>
          <w:rFonts w:hint="eastAsia" w:ascii="CESI仿宋-GB2312" w:hAnsi="CESI仿宋-GB2312" w:eastAsia="CESI仿宋-GB2312" w:cs="CESI仿宋-GB2312"/>
          <w:i w:val="0"/>
          <w:color w:val="auto"/>
          <w:sz w:val="32"/>
          <w:szCs w:val="32"/>
          <w:highlight w:val="none"/>
        </w:rPr>
        <w:t>距离计算，中间有障碍物的，原则上测量应与障碍物保持50厘米的距离，可供行人安全通过，避免危险。申请人经营场所或现有零售点存在多个出入口（门）的，以测量结果最近的距离为准。政府有关部门在街道或道路中间已经设置的隔离带（栏）、单实线及双实线</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rPr>
        <w:t>绿化</w:t>
      </w:r>
      <w:r>
        <w:rPr>
          <w:rFonts w:hint="eastAsia" w:ascii="CESI仿宋-GB2312" w:hAnsi="CESI仿宋-GB2312" w:eastAsia="CESI仿宋-GB2312" w:cs="CESI仿宋-GB2312"/>
          <w:i w:val="0"/>
          <w:color w:val="auto"/>
          <w:sz w:val="32"/>
          <w:szCs w:val="32"/>
          <w:highlight w:val="none"/>
          <w:lang w:val="en-US" w:eastAsia="zh-CN"/>
        </w:rPr>
        <w:t>带</w:t>
      </w:r>
      <w:r>
        <w:rPr>
          <w:rFonts w:hint="eastAsia" w:ascii="CESI仿宋-GB2312" w:hAnsi="CESI仿宋-GB2312" w:eastAsia="CESI仿宋-GB2312" w:cs="CESI仿宋-GB2312"/>
          <w:i w:val="0"/>
          <w:color w:val="auto"/>
          <w:sz w:val="32"/>
          <w:szCs w:val="32"/>
          <w:highlight w:val="none"/>
        </w:rPr>
        <w:t>等视为障</w:t>
      </w:r>
      <w:r>
        <w:rPr>
          <w:rFonts w:hint="eastAsia" w:ascii="CESI仿宋-GB2312" w:hAnsi="CESI仿宋-GB2312" w:eastAsia="CESI仿宋-GB2312" w:cs="CESI仿宋-GB2312"/>
          <w:i w:val="0"/>
          <w:color w:val="auto"/>
          <w:sz w:val="32"/>
          <w:szCs w:val="32"/>
          <w:highlight w:val="none"/>
          <w:lang w:val="en-US" w:eastAsia="zh-CN"/>
        </w:rPr>
        <w:t>碍物。</w:t>
      </w:r>
    </w:p>
    <w:p w14:paraId="67B02B52">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（四）</w:t>
      </w:r>
      <w:r>
        <w:rPr>
          <w:rFonts w:hint="eastAsia" w:ascii="CESI仿宋-GB2312" w:hAnsi="CESI仿宋-GB2312" w:eastAsia="CESI仿宋-GB2312" w:cs="CESI仿宋-GB2312"/>
          <w:i w:val="0"/>
          <w:color w:val="auto"/>
          <w:sz w:val="32"/>
          <w:szCs w:val="32"/>
          <w:highlight w:val="none"/>
        </w:rPr>
        <w:t>测量标准：</w:t>
      </w:r>
    </w:p>
    <w:p w14:paraId="55723D8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drawing>
          <wp:anchor distT="0" distB="0" distL="114300" distR="114300" simplePos="0" relativeHeight="251660288" behindDoc="0" locked="0" layoutInCell="1" allowOverlap="1">
            <wp:simplePos x="0" y="0"/>
            <wp:positionH relativeFrom="column">
              <wp:posOffset>488315</wp:posOffset>
            </wp:positionH>
            <wp:positionV relativeFrom="paragraph">
              <wp:posOffset>662305</wp:posOffset>
            </wp:positionV>
            <wp:extent cx="4298950" cy="1402715"/>
            <wp:effectExtent l="0" t="0" r="6350" b="6985"/>
            <wp:wrapTopAndBottom/>
            <wp:docPr id="3" name="图片 2" descr="1.同侧 无障碍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同侧 无障碍物"/>
                    <pic:cNvPicPr>
                      <a:picLocks noChangeAspect="1"/>
                    </pic:cNvPicPr>
                  </pic:nvPicPr>
                  <pic:blipFill>
                    <a:blip r:embed="rId8"/>
                    <a:stretch>
                      <a:fillRect/>
                    </a:stretch>
                  </pic:blipFill>
                  <pic:spPr>
                    <a:xfrm>
                      <a:off x="0" y="0"/>
                      <a:ext cx="4298950" cy="1402715"/>
                    </a:xfrm>
                    <a:prstGeom prst="rect">
                      <a:avLst/>
                    </a:prstGeom>
                    <a:noFill/>
                    <a:ln>
                      <a:noFill/>
                    </a:ln>
                  </pic:spPr>
                </pic:pic>
              </a:graphicData>
            </a:graphic>
          </wp:anchor>
        </w:drawing>
      </w:r>
      <w:r>
        <w:rPr>
          <w:rFonts w:hint="eastAsia" w:ascii="CESI仿宋-GB2312" w:hAnsi="CESI仿宋-GB2312" w:eastAsia="CESI仿宋-GB2312" w:cs="CESI仿宋-GB2312"/>
          <w:i w:val="0"/>
          <w:color w:val="auto"/>
          <w:sz w:val="32"/>
          <w:szCs w:val="32"/>
          <w:highlight w:val="none"/>
          <w:lang w:eastAsia="zh-CN"/>
        </w:rPr>
        <w:t>1</w:t>
      </w:r>
      <w:r>
        <w:rPr>
          <w:rFonts w:hint="eastAsia" w:ascii="CESI仿宋-GB2312" w:hAnsi="CESI仿宋-GB2312" w:eastAsia="CESI仿宋-GB2312" w:cs="CESI仿宋-GB2312"/>
          <w:i w:val="0"/>
          <w:color w:val="auto"/>
          <w:sz w:val="32"/>
          <w:szCs w:val="32"/>
          <w:highlight w:val="none"/>
          <w:lang w:val="en-US" w:eastAsia="zh-CN"/>
        </w:rPr>
        <w:t>.</w:t>
      </w:r>
      <w:r>
        <w:rPr>
          <w:rFonts w:hint="eastAsia" w:ascii="CESI仿宋-GB2312" w:hAnsi="CESI仿宋-GB2312" w:eastAsia="CESI仿宋-GB2312" w:cs="CESI仿宋-GB2312"/>
          <w:i w:val="0"/>
          <w:color w:val="auto"/>
          <w:sz w:val="32"/>
          <w:szCs w:val="32"/>
          <w:highlight w:val="none"/>
          <w:lang w:eastAsia="zh-CN"/>
        </w:rPr>
        <w:t>申请人的经营场所与最近零售点的经营场所同侧无障碍物的，测量两点最短直线距离。（</w:t>
      </w:r>
      <w:r>
        <w:rPr>
          <w:rFonts w:hint="eastAsia" w:ascii="CESI仿宋-GB2312" w:hAnsi="CESI仿宋-GB2312" w:eastAsia="CESI仿宋-GB2312" w:cs="CESI仿宋-GB2312"/>
          <w:i w:val="0"/>
          <w:color w:val="auto"/>
          <w:sz w:val="32"/>
          <w:szCs w:val="32"/>
          <w:highlight w:val="none"/>
          <w:lang w:val="en-US" w:eastAsia="zh-CN"/>
        </w:rPr>
        <w:t>见图1）</w:t>
      </w:r>
    </w:p>
    <w:p w14:paraId="64505163">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p>
    <w:p w14:paraId="70D25507">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2.申请人的经营场所与最近零售点的经营场所同侧存在障碍物的，分段绕过障碍物测量，分段距离之和即为申请人的经营场所与最近零售点的经营场所间的距离。（</w:t>
      </w:r>
      <w:r>
        <w:rPr>
          <w:rFonts w:hint="eastAsia" w:ascii="CESI仿宋-GB2312" w:hAnsi="CESI仿宋-GB2312" w:eastAsia="CESI仿宋-GB2312" w:cs="CESI仿宋-GB2312"/>
          <w:i w:val="0"/>
          <w:color w:val="auto"/>
          <w:sz w:val="32"/>
          <w:szCs w:val="32"/>
          <w:highlight w:val="none"/>
          <w:lang w:eastAsia="zh-CN"/>
        </w:rPr>
        <w:t>见图</w:t>
      </w:r>
      <w:r>
        <w:rPr>
          <w:rFonts w:hint="eastAsia" w:ascii="CESI仿宋-GB2312" w:hAnsi="CESI仿宋-GB2312" w:eastAsia="CESI仿宋-GB2312" w:cs="CESI仿宋-GB2312"/>
          <w:i w:val="0"/>
          <w:color w:val="auto"/>
          <w:sz w:val="32"/>
          <w:szCs w:val="32"/>
          <w:highlight w:val="none"/>
          <w:lang w:val="en-US" w:eastAsia="zh-CN"/>
        </w:rPr>
        <w:t>2）</w:t>
      </w:r>
    </w:p>
    <w:p w14:paraId="2092B16E">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drawing>
          <wp:anchor distT="0" distB="0" distL="114300" distR="114300" simplePos="0" relativeHeight="251661312" behindDoc="0" locked="0" layoutInCell="1" allowOverlap="1">
            <wp:simplePos x="0" y="0"/>
            <wp:positionH relativeFrom="column">
              <wp:posOffset>392430</wp:posOffset>
            </wp:positionH>
            <wp:positionV relativeFrom="paragraph">
              <wp:posOffset>215265</wp:posOffset>
            </wp:positionV>
            <wp:extent cx="4469765" cy="2298065"/>
            <wp:effectExtent l="0" t="0" r="6985" b="6985"/>
            <wp:wrapTopAndBottom/>
            <wp:docPr id="5" name="图片 4" descr="2026-05-19_17-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026-05-19_17-01-26"/>
                    <pic:cNvPicPr>
                      <a:picLocks noChangeAspect="1"/>
                    </pic:cNvPicPr>
                  </pic:nvPicPr>
                  <pic:blipFill>
                    <a:blip r:embed="rId9"/>
                    <a:stretch>
                      <a:fillRect/>
                    </a:stretch>
                  </pic:blipFill>
                  <pic:spPr>
                    <a:xfrm>
                      <a:off x="0" y="0"/>
                      <a:ext cx="4469765" cy="2298065"/>
                    </a:xfrm>
                    <a:prstGeom prst="rect">
                      <a:avLst/>
                    </a:prstGeom>
                    <a:noFill/>
                    <a:ln>
                      <a:noFill/>
                    </a:ln>
                  </pic:spPr>
                </pic:pic>
              </a:graphicData>
            </a:graphic>
          </wp:anchor>
        </w:drawing>
      </w:r>
      <w:r>
        <w:rPr>
          <w:rFonts w:hint="eastAsia" w:ascii="CESI仿宋-GB2312" w:hAnsi="CESI仿宋-GB2312" w:eastAsia="CESI仿宋-GB2312" w:cs="CESI仿宋-GB2312"/>
          <w:i w:val="0"/>
          <w:color w:val="auto"/>
          <w:sz w:val="32"/>
          <w:szCs w:val="32"/>
          <w:highlight w:val="none"/>
          <w:lang w:val="en-US" w:eastAsia="zh-CN"/>
        </w:rPr>
        <w:t>3.</w:t>
      </w:r>
      <w:r>
        <w:rPr>
          <w:rFonts w:hint="eastAsia" w:ascii="CESI仿宋-GB2312" w:hAnsi="CESI仿宋-GB2312" w:eastAsia="CESI仿宋-GB2312" w:cs="CESI仿宋-GB2312"/>
          <w:i w:val="0"/>
          <w:color w:val="auto"/>
          <w:sz w:val="32"/>
          <w:szCs w:val="32"/>
          <w:highlight w:val="none"/>
          <w:lang w:eastAsia="zh-CN"/>
        </w:rPr>
        <w:t>申请人的经营场所与最近零售点的经营场所异侧无障碍物的,测量按分段测量，分段距离之和即为申请人的经营场所与最近零售点的经营场所的距离。（见图</w:t>
      </w:r>
      <w:r>
        <w:rPr>
          <w:rFonts w:hint="eastAsia" w:ascii="CESI仿宋-GB2312" w:hAnsi="CESI仿宋-GB2312" w:eastAsia="CESI仿宋-GB2312" w:cs="CESI仿宋-GB2312"/>
          <w:i w:val="0"/>
          <w:color w:val="auto"/>
          <w:sz w:val="32"/>
          <w:szCs w:val="32"/>
          <w:highlight w:val="none"/>
          <w:lang w:val="en-US" w:eastAsia="zh-CN"/>
        </w:rPr>
        <w:t>3</w:t>
      </w:r>
      <w:r>
        <w:rPr>
          <w:rFonts w:hint="eastAsia" w:ascii="CESI仿宋-GB2312" w:hAnsi="CESI仿宋-GB2312" w:eastAsia="CESI仿宋-GB2312" w:cs="CESI仿宋-GB2312"/>
          <w:i w:val="0"/>
          <w:color w:val="auto"/>
          <w:sz w:val="32"/>
          <w:szCs w:val="32"/>
          <w:highlight w:val="none"/>
          <w:lang w:eastAsia="zh-CN"/>
        </w:rPr>
        <w:t>）。</w:t>
      </w:r>
    </w:p>
    <w:p w14:paraId="10A6497F">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893445</wp:posOffset>
            </wp:positionH>
            <wp:positionV relativeFrom="paragraph">
              <wp:posOffset>64135</wp:posOffset>
            </wp:positionV>
            <wp:extent cx="3733800" cy="2689225"/>
            <wp:effectExtent l="0" t="0" r="0" b="15875"/>
            <wp:wrapTopAndBottom/>
            <wp:docPr id="6" name="图片 5" descr="3.异侧无障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3.异侧无障碍"/>
                    <pic:cNvPicPr>
                      <a:picLocks noChangeAspect="1"/>
                    </pic:cNvPicPr>
                  </pic:nvPicPr>
                  <pic:blipFill>
                    <a:blip r:embed="rId10">
                      <a:lum bright="-6000"/>
                    </a:blip>
                    <a:stretch>
                      <a:fillRect/>
                    </a:stretch>
                  </pic:blipFill>
                  <pic:spPr>
                    <a:xfrm>
                      <a:off x="0" y="0"/>
                      <a:ext cx="3733800" cy="2689225"/>
                    </a:xfrm>
                    <a:prstGeom prst="rect">
                      <a:avLst/>
                    </a:prstGeom>
                    <a:noFill/>
                    <a:ln>
                      <a:noFill/>
                    </a:ln>
                  </pic:spPr>
                </pic:pic>
              </a:graphicData>
            </a:graphic>
          </wp:anchor>
        </w:drawing>
      </w:r>
    </w:p>
    <w:p w14:paraId="5B90F41E">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4.</w:t>
      </w:r>
      <w:r>
        <w:rPr>
          <w:rFonts w:hint="eastAsia" w:ascii="CESI仿宋-GB2312" w:hAnsi="CESI仿宋-GB2312" w:eastAsia="CESI仿宋-GB2312" w:cs="CESI仿宋-GB2312"/>
          <w:i w:val="0"/>
          <w:color w:val="auto"/>
          <w:sz w:val="32"/>
          <w:szCs w:val="32"/>
          <w:highlight w:val="none"/>
          <w:lang w:eastAsia="zh-CN"/>
        </w:rPr>
        <w:t>申请人的经营场所与最近零售点的经营场所异侧存在障碍物的，</w:t>
      </w:r>
      <w:r>
        <w:rPr>
          <w:rFonts w:hint="eastAsia" w:ascii="CESI仿宋-GB2312" w:hAnsi="CESI仿宋-GB2312" w:eastAsia="CESI仿宋-GB2312" w:cs="CESI仿宋-GB2312"/>
          <w:i w:val="0"/>
          <w:color w:val="auto"/>
          <w:sz w:val="32"/>
          <w:szCs w:val="32"/>
          <w:highlight w:val="none"/>
          <w:lang w:val="en-US" w:eastAsia="zh-CN"/>
        </w:rPr>
        <w:t>分段绕过障碍物测量，分段距离之和即为申请人的经营场所与最近零售点的经营场所间的距离。</w:t>
      </w:r>
      <w:r>
        <w:rPr>
          <w:rFonts w:hint="eastAsia" w:ascii="CESI仿宋-GB2312" w:hAnsi="CESI仿宋-GB2312" w:eastAsia="CESI仿宋-GB2312" w:cs="CESI仿宋-GB2312"/>
          <w:i w:val="0"/>
          <w:color w:val="auto"/>
          <w:sz w:val="32"/>
          <w:szCs w:val="32"/>
          <w:highlight w:val="none"/>
          <w:lang w:eastAsia="zh-CN"/>
        </w:rPr>
        <w:t>（见图</w:t>
      </w:r>
      <w:r>
        <w:rPr>
          <w:rFonts w:hint="eastAsia" w:ascii="CESI仿宋-GB2312" w:hAnsi="CESI仿宋-GB2312" w:eastAsia="CESI仿宋-GB2312" w:cs="CESI仿宋-GB2312"/>
          <w:i w:val="0"/>
          <w:color w:val="auto"/>
          <w:sz w:val="32"/>
          <w:szCs w:val="32"/>
          <w:highlight w:val="none"/>
          <w:lang w:val="en-US" w:eastAsia="zh-CN"/>
        </w:rPr>
        <w:t>4</w:t>
      </w:r>
      <w:r>
        <w:rPr>
          <w:rFonts w:hint="eastAsia" w:ascii="CESI仿宋-GB2312" w:hAnsi="CESI仿宋-GB2312" w:eastAsia="CESI仿宋-GB2312" w:cs="CESI仿宋-GB2312"/>
          <w:i w:val="0"/>
          <w:color w:val="auto"/>
          <w:sz w:val="32"/>
          <w:szCs w:val="32"/>
          <w:highlight w:val="none"/>
          <w:lang w:eastAsia="zh-CN"/>
        </w:rPr>
        <w:t>）</w:t>
      </w:r>
    </w:p>
    <w:p w14:paraId="4D5873E8">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5.申</w:t>
      </w:r>
      <w:r>
        <w:rPr>
          <w:rFonts w:hint="eastAsia" w:ascii="CESI仿宋-GB2312" w:hAnsi="CESI仿宋-GB2312" w:eastAsia="CESI仿宋-GB2312" w:cs="CESI仿宋-GB2312"/>
          <w:i w:val="0"/>
          <w:color w:val="auto"/>
          <w:sz w:val="32"/>
          <w:szCs w:val="32"/>
          <w:highlight w:val="none"/>
          <w:lang w:eastAsia="zh-CN"/>
        </w:rPr>
        <w:t>请人的经营场所与最近零售点的经营场所之间道路存在有转角的，按分段测量最短距离。（见图</w:t>
      </w:r>
      <w:r>
        <w:rPr>
          <w:rFonts w:hint="eastAsia" w:ascii="CESI仿宋-GB2312" w:hAnsi="CESI仿宋-GB2312" w:eastAsia="CESI仿宋-GB2312" w:cs="CESI仿宋-GB2312"/>
          <w:i w:val="0"/>
          <w:color w:val="auto"/>
          <w:sz w:val="32"/>
          <w:szCs w:val="32"/>
          <w:highlight w:val="none"/>
          <w:lang w:val="en-US" w:eastAsia="zh-CN"/>
        </w:rPr>
        <w:t>5</w:t>
      </w:r>
      <w:r>
        <w:rPr>
          <w:rFonts w:hint="eastAsia" w:ascii="CESI仿宋-GB2312" w:hAnsi="CESI仿宋-GB2312" w:eastAsia="CESI仿宋-GB2312" w:cs="CESI仿宋-GB2312"/>
          <w:i w:val="0"/>
          <w:color w:val="auto"/>
          <w:sz w:val="32"/>
          <w:szCs w:val="32"/>
          <w:highlight w:val="none"/>
          <w:lang w:eastAsia="zh-CN"/>
        </w:rPr>
        <w:t>）</w:t>
      </w:r>
      <w:r>
        <w:rPr>
          <w:rFonts w:hint="eastAsia" w:ascii="CESI仿宋-GB2312" w:hAnsi="CESI仿宋-GB2312" w:eastAsia="CESI仿宋-GB2312" w:cs="CESI仿宋-GB2312"/>
          <w:i w:val="0"/>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1139190</wp:posOffset>
            </wp:positionH>
            <wp:positionV relativeFrom="paragraph">
              <wp:posOffset>224155</wp:posOffset>
            </wp:positionV>
            <wp:extent cx="2933700" cy="3191510"/>
            <wp:effectExtent l="0" t="0" r="0" b="8890"/>
            <wp:wrapTopAndBottom/>
            <wp:docPr id="7" name="图片 6" descr="4.异侧 有障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4.异侧 有障碍"/>
                    <pic:cNvPicPr>
                      <a:picLocks noChangeAspect="1"/>
                    </pic:cNvPicPr>
                  </pic:nvPicPr>
                  <pic:blipFill>
                    <a:blip r:embed="rId11"/>
                    <a:stretch>
                      <a:fillRect/>
                    </a:stretch>
                  </pic:blipFill>
                  <pic:spPr>
                    <a:xfrm>
                      <a:off x="0" y="0"/>
                      <a:ext cx="2933700" cy="3191510"/>
                    </a:xfrm>
                    <a:prstGeom prst="rect">
                      <a:avLst/>
                    </a:prstGeom>
                    <a:noFill/>
                    <a:ln>
                      <a:noFill/>
                    </a:ln>
                  </pic:spPr>
                </pic:pic>
              </a:graphicData>
            </a:graphic>
          </wp:anchor>
        </w:drawing>
      </w:r>
    </w:p>
    <w:p w14:paraId="1CB81453">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777875</wp:posOffset>
            </wp:positionH>
            <wp:positionV relativeFrom="paragraph">
              <wp:posOffset>88265</wp:posOffset>
            </wp:positionV>
            <wp:extent cx="3837940" cy="2333625"/>
            <wp:effectExtent l="0" t="0" r="10160" b="3175"/>
            <wp:wrapTopAndBottom/>
            <wp:docPr id="8" name="图片 7" descr="5有转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5有转角"/>
                    <pic:cNvPicPr>
                      <a:picLocks noChangeAspect="1"/>
                    </pic:cNvPicPr>
                  </pic:nvPicPr>
                  <pic:blipFill>
                    <a:blip r:embed="rId12"/>
                    <a:stretch>
                      <a:fillRect/>
                    </a:stretch>
                  </pic:blipFill>
                  <pic:spPr>
                    <a:xfrm>
                      <a:off x="0" y="0"/>
                      <a:ext cx="3837940" cy="2333625"/>
                    </a:xfrm>
                    <a:prstGeom prst="rect">
                      <a:avLst/>
                    </a:prstGeom>
                    <a:noFill/>
                    <a:ln>
                      <a:noFill/>
                    </a:ln>
                  </pic:spPr>
                </pic:pic>
              </a:graphicData>
            </a:graphic>
          </wp:anchor>
        </w:drawing>
      </w:r>
    </w:p>
    <w:p w14:paraId="4CAD3677">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6.</w:t>
      </w:r>
      <w:r>
        <w:rPr>
          <w:rFonts w:hint="eastAsia" w:ascii="CESI仿宋-GB2312" w:hAnsi="CESI仿宋-GB2312" w:eastAsia="CESI仿宋-GB2312" w:cs="CESI仿宋-GB2312"/>
          <w:i w:val="0"/>
          <w:color w:val="auto"/>
          <w:sz w:val="32"/>
          <w:szCs w:val="32"/>
          <w:highlight w:val="none"/>
          <w:lang w:eastAsia="zh-CN"/>
        </w:rPr>
        <w:t>申请人的经营场所与最近零售点的经营场所之间有台阶、楼梯的，以其平面坡长进行测量；有电梯的，以层高进行测量；楼梯与电梯并存的，以最短距离的为准。（见图</w:t>
      </w:r>
      <w:r>
        <w:rPr>
          <w:rFonts w:hint="eastAsia" w:ascii="CESI仿宋-GB2312" w:hAnsi="CESI仿宋-GB2312" w:eastAsia="CESI仿宋-GB2312" w:cs="CESI仿宋-GB2312"/>
          <w:i w:val="0"/>
          <w:color w:val="auto"/>
          <w:sz w:val="32"/>
          <w:szCs w:val="32"/>
          <w:highlight w:val="none"/>
          <w:lang w:val="en-US" w:eastAsia="zh-CN"/>
        </w:rPr>
        <w:t>6</w:t>
      </w:r>
      <w:r>
        <w:rPr>
          <w:rFonts w:hint="eastAsia" w:ascii="CESI仿宋-GB2312" w:hAnsi="CESI仿宋-GB2312" w:eastAsia="CESI仿宋-GB2312" w:cs="CESI仿宋-GB2312"/>
          <w:i w:val="0"/>
          <w:color w:val="auto"/>
          <w:sz w:val="32"/>
          <w:szCs w:val="32"/>
          <w:highlight w:val="none"/>
          <w:lang w:eastAsia="zh-CN"/>
        </w:rPr>
        <w:t>）</w:t>
      </w:r>
    </w:p>
    <w:p w14:paraId="21682E3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628650</wp:posOffset>
            </wp:positionH>
            <wp:positionV relativeFrom="paragraph">
              <wp:posOffset>100965</wp:posOffset>
            </wp:positionV>
            <wp:extent cx="4224020" cy="2691765"/>
            <wp:effectExtent l="0" t="0" r="5080" b="635"/>
            <wp:wrapTopAndBottom/>
            <wp:docPr id="9" name="图片 8" descr="6.有台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6.有台阶"/>
                    <pic:cNvPicPr>
                      <a:picLocks noChangeAspect="1"/>
                    </pic:cNvPicPr>
                  </pic:nvPicPr>
                  <pic:blipFill>
                    <a:blip r:embed="rId13"/>
                    <a:stretch>
                      <a:fillRect/>
                    </a:stretch>
                  </pic:blipFill>
                  <pic:spPr>
                    <a:xfrm>
                      <a:off x="0" y="0"/>
                      <a:ext cx="4224020" cy="2691765"/>
                    </a:xfrm>
                    <a:prstGeom prst="rect">
                      <a:avLst/>
                    </a:prstGeom>
                    <a:noFill/>
                    <a:ln>
                      <a:noFill/>
                    </a:ln>
                  </pic:spPr>
                </pic:pic>
              </a:graphicData>
            </a:graphic>
          </wp:anchor>
        </w:drawing>
      </w:r>
    </w:p>
    <w:p w14:paraId="2E74491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7.</w:t>
      </w:r>
      <w:r>
        <w:rPr>
          <w:rFonts w:hint="eastAsia" w:ascii="CESI仿宋-GB2312" w:hAnsi="CESI仿宋-GB2312" w:eastAsia="CESI仿宋-GB2312" w:cs="CESI仿宋-GB2312"/>
          <w:i w:val="0"/>
          <w:color w:val="auto"/>
          <w:sz w:val="32"/>
          <w:szCs w:val="32"/>
          <w:highlight w:val="none"/>
          <w:lang w:eastAsia="zh-CN"/>
        </w:rPr>
        <w:t>特殊地形测量：因地形、地貌或设计等原因导致道路、通道成不规则形态，通过上述</w:t>
      </w:r>
      <w:r>
        <w:rPr>
          <w:rFonts w:hint="eastAsia" w:ascii="CESI仿宋-GB2312" w:hAnsi="CESI仿宋-GB2312" w:eastAsia="CESI仿宋-GB2312" w:cs="CESI仿宋-GB2312"/>
          <w:i w:val="0"/>
          <w:color w:val="auto"/>
          <w:sz w:val="32"/>
          <w:szCs w:val="32"/>
          <w:highlight w:val="none"/>
          <w:lang w:val="en-US" w:eastAsia="zh-CN"/>
        </w:rPr>
        <w:t>6种方法组合叠加后仍然</w:t>
      </w:r>
      <w:r>
        <w:rPr>
          <w:rFonts w:hint="eastAsia" w:ascii="CESI仿宋-GB2312" w:hAnsi="CESI仿宋-GB2312" w:eastAsia="CESI仿宋-GB2312" w:cs="CESI仿宋-GB2312"/>
          <w:i w:val="0"/>
          <w:color w:val="auto"/>
          <w:sz w:val="32"/>
          <w:szCs w:val="32"/>
          <w:highlight w:val="none"/>
          <w:lang w:eastAsia="zh-CN"/>
        </w:rPr>
        <w:t>无法测量的，取可安全通行路径最近距离进行测量。</w:t>
      </w:r>
    </w:p>
    <w:p w14:paraId="22ED04C4">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i w:val="0"/>
          <w:color w:val="auto"/>
          <w:sz w:val="32"/>
          <w:szCs w:val="32"/>
          <w:highlight w:val="none"/>
          <w:lang w:val="en-US" w:eastAsia="zh-CN"/>
        </w:rPr>
        <w:t>8.</w:t>
      </w:r>
      <w:r>
        <w:rPr>
          <w:rFonts w:hint="eastAsia" w:ascii="CESI仿宋-GB2312" w:hAnsi="CESI仿宋-GB2312" w:eastAsia="CESI仿宋-GB2312" w:cs="CESI仿宋-GB2312"/>
          <w:i w:val="0"/>
          <w:color w:val="auto"/>
          <w:sz w:val="32"/>
          <w:szCs w:val="32"/>
          <w:highlight w:val="none"/>
          <w:lang w:eastAsia="zh-CN"/>
        </w:rPr>
        <w:t>市场、封闭式小区内等区域零售点间隔距离测量方法均以原设计道路、人行通道行人正常安全行走的最短距离进行测量。以中小学、幼儿园进出口通道为参照点的,参照上述方式进行测量。</w:t>
      </w:r>
    </w:p>
    <w:p w14:paraId="4EE1DF11">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i w:val="0"/>
          <w:color w:val="auto"/>
          <w:sz w:val="32"/>
          <w:szCs w:val="32"/>
          <w:highlight w:val="none"/>
          <w:lang w:eastAsia="zh-CN"/>
        </w:rPr>
        <w:t>（五）</w:t>
      </w:r>
      <w:r>
        <w:rPr>
          <w:rFonts w:hint="eastAsia" w:ascii="CESI仿宋-GB2312" w:hAnsi="CESI仿宋-GB2312" w:eastAsia="CESI仿宋-GB2312" w:cs="CESI仿宋-GB2312"/>
          <w:i w:val="0"/>
          <w:color w:val="auto"/>
          <w:sz w:val="32"/>
          <w:szCs w:val="32"/>
          <w:highlight w:val="none"/>
        </w:rPr>
        <w:t>测量结果由申请人或者申请人的委托代理人现场确认。</w:t>
      </w:r>
    </w:p>
    <w:p w14:paraId="724F40C2">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rFonts w:hint="eastAsia"/>
          <w:color w:val="auto"/>
          <w:sz w:val="32"/>
          <w:szCs w:val="32"/>
          <w:highlight w:val="none"/>
          <w:lang w:val="en-US" w:eastAsia="zh-CN"/>
        </w:rPr>
      </w:pPr>
      <w:r>
        <w:rPr>
          <w:rFonts w:hint="eastAsia"/>
          <w:color w:val="auto"/>
          <w:sz w:val="32"/>
          <w:szCs w:val="32"/>
          <w:highlight w:val="none"/>
          <w:lang w:val="en-US" w:eastAsia="zh-CN"/>
        </w:rPr>
        <w:t>第五章  轮候管理</w:t>
      </w:r>
    </w:p>
    <w:p w14:paraId="506D43F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b/>
          <w:i w:val="0"/>
          <w:color w:val="auto"/>
          <w:sz w:val="32"/>
          <w:szCs w:val="32"/>
          <w:highlight w:val="none"/>
          <w:lang w:val="en-US" w:eastAsia="zh-CN"/>
        </w:rPr>
        <w:t>第十四条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color w:val="auto"/>
          <w:sz w:val="32"/>
          <w:szCs w:val="32"/>
          <w:highlight w:val="none"/>
          <w:lang w:val="en-US" w:eastAsia="zh-CN"/>
        </w:rPr>
        <w:t>轮候管理制度参照以下标准执行：</w:t>
      </w:r>
    </w:p>
    <w:p w14:paraId="13A5129C">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eastAsia="zh-CN"/>
        </w:rPr>
        <w:t>（一）轮候制度：网格内零售点数量达到上限的，经申请人申请确认，实行轮候管理。零售点数量是指基于网格内的人口数量、消费需求、经济发展水平等关键因素，烟草专卖局测算得出的烟草制品零售点合理数量上限。轮候管理是指</w:t>
      </w:r>
      <w:r>
        <w:rPr>
          <w:rFonts w:hint="eastAsia" w:ascii="CESI仿宋-GB2312" w:hAnsi="CESI仿宋-GB2312" w:eastAsia="CESI仿宋-GB2312" w:cs="CESI仿宋-GB2312"/>
          <w:i w:val="0"/>
          <w:color w:val="auto"/>
          <w:sz w:val="32"/>
          <w:szCs w:val="32"/>
          <w:highlight w:val="none"/>
          <w:lang w:val="en-US" w:eastAsia="zh-CN"/>
        </w:rPr>
        <w:t>提出烟草专卖零售许可证新办的申请人，因经营场所所在网格零售点数量达到数量上限，被烟草专卖局作出不予许可决定后，在不违反当地烟草制品零售点合理布局规划中禁止性条款的基础上，烟草专卖局对符合条件的新办申请人实行的“排队登记、按序发证”的管理模式。</w:t>
      </w:r>
    </w:p>
    <w:p w14:paraId="19179755">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二）资格管理：轮候期间，申请人出现以下情形之一的，则本次轮候资格失效：主动放弃轮候权利的；轮候到号后逾期未提出新办申请或无法联系到申请人的；申请人在收到办理通知之日起五个工作日内未响应的；经营地址发生变化的；经营主体发生变化的（家庭经营的个体工商户，经营者在家庭成员间变更的除外）；擅自从事烟草专卖品生产经营活动受到行政处罚或刑事处罚的；被市场监督管理部门吊销营业执照的。主动放弃轮候权利、轮候到号后逾期未提出新办申请、无法联系到申请人的，应保留录音录像等记录，确保程序合法。</w:t>
      </w:r>
    </w:p>
    <w:p w14:paraId="7F2300D9">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 xml:space="preserve">（三）轮候要求： </w:t>
      </w:r>
    </w:p>
    <w:p w14:paraId="2B1BAA93">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1.烟草专卖局送达《不予许可决定书》时，同时告知申请人可参加轮候，申请人确认参加轮候的，签署《烟草专卖零售许可证轮候申请表》。</w:t>
      </w:r>
    </w:p>
    <w:p w14:paraId="59D0BB6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2.申请人的轮候顺序以全国统一专卖监管平台显示的申请日期为准，具体时间明确到时分秒。轮候期间，同一申请人在同一经营场所多次提出轮候申请的，以第一次轮候顺序为准。</w:t>
      </w:r>
    </w:p>
    <w:p w14:paraId="5965A6E0">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val="en-US" w:eastAsia="zh-CN"/>
        </w:rPr>
      </w:pPr>
      <w:r>
        <w:rPr>
          <w:rFonts w:hint="eastAsia" w:ascii="CESI仿宋-GB2312" w:hAnsi="CESI仿宋-GB2312" w:eastAsia="CESI仿宋-GB2312" w:cs="CESI仿宋-GB2312"/>
          <w:i w:val="0"/>
          <w:color w:val="auto"/>
          <w:sz w:val="32"/>
          <w:szCs w:val="32"/>
          <w:highlight w:val="none"/>
          <w:lang w:val="en-US" w:eastAsia="zh-CN"/>
        </w:rPr>
        <w:t>3.烟草专卖局应当按照接收申请的先后顺序进行审核，审核未通过的退回申请，申请人可以修改补正后再次提交申请。排序时间以再次提交全部材料的申请时间为准。</w:t>
      </w:r>
    </w:p>
    <w:p w14:paraId="53966FA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b w:val="0"/>
          <w:color w:val="auto"/>
          <w:sz w:val="32"/>
          <w:szCs w:val="32"/>
          <w:highlight w:val="none"/>
          <w:lang w:val="en-US" w:eastAsia="zh-CN" w:bidi="ug-CN"/>
        </w:rPr>
      </w:pPr>
      <w:r>
        <w:rPr>
          <w:rFonts w:hint="eastAsia" w:ascii="CESI仿宋-GB2312" w:hAnsi="CESI仿宋-GB2312" w:eastAsia="CESI仿宋-GB2312" w:cs="CESI仿宋-GB2312"/>
          <w:i w:val="0"/>
          <w:color w:val="auto"/>
          <w:sz w:val="32"/>
          <w:szCs w:val="32"/>
          <w:highlight w:val="none"/>
          <w:lang w:val="en-US" w:eastAsia="zh-CN"/>
        </w:rPr>
        <w:t>4.当网格内有可新增零售点时，由发证机关按照轮候顺序和申请表确认的联系方式依次通知申请人。逾期未提出新办申请、无法联系到申请人的，视为自动放弃轮候。</w:t>
      </w:r>
    </w:p>
    <w:p w14:paraId="69CE2131">
      <w:pPr>
        <w:pStyle w:val="19"/>
        <w:keepNext w:val="0"/>
        <w:keepLines w:val="0"/>
        <w:pageBreakBefore w:val="0"/>
        <w:widowControl/>
        <w:shd w:val="clear" w:fill="FFFFFF"/>
        <w:kinsoku/>
        <w:wordWrap/>
        <w:overflowPunct/>
        <w:topLinePunct w:val="0"/>
        <w:autoSpaceDE/>
        <w:autoSpaceDN/>
        <w:bidi w:val="0"/>
        <w:adjustRightInd/>
        <w:snapToGrid/>
        <w:spacing w:line="240" w:lineRule="auto"/>
        <w:ind w:firstLine="616" w:firstLineChars="200"/>
        <w:jc w:val="center"/>
        <w:textAlignment w:val="auto"/>
        <w:rPr>
          <w:rFonts w:hint="default"/>
          <w:color w:val="auto"/>
          <w:sz w:val="32"/>
          <w:szCs w:val="32"/>
          <w:highlight w:val="none"/>
          <w:lang w:val="en-US" w:eastAsia="zh-CN"/>
        </w:rPr>
      </w:pPr>
      <w:r>
        <w:rPr>
          <w:rFonts w:hint="default"/>
          <w:color w:val="auto"/>
          <w:sz w:val="32"/>
          <w:szCs w:val="32"/>
          <w:highlight w:val="none"/>
          <w:lang w:val="en-US" w:eastAsia="zh-CN"/>
        </w:rPr>
        <w:t>第</w:t>
      </w:r>
      <w:r>
        <w:rPr>
          <w:rFonts w:hint="eastAsia"/>
          <w:color w:val="auto"/>
          <w:sz w:val="32"/>
          <w:szCs w:val="32"/>
          <w:highlight w:val="none"/>
          <w:lang w:val="en-US" w:eastAsia="zh-CN"/>
        </w:rPr>
        <w:t>六</w:t>
      </w:r>
      <w:r>
        <w:rPr>
          <w:rFonts w:hint="default"/>
          <w:color w:val="auto"/>
          <w:sz w:val="32"/>
          <w:szCs w:val="32"/>
          <w:highlight w:val="none"/>
          <w:lang w:val="en-US" w:eastAsia="zh-CN"/>
        </w:rPr>
        <w:t>章  附则</w:t>
      </w:r>
    </w:p>
    <w:p w14:paraId="59BCB6B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bidi="ug-CN"/>
        </w:rPr>
      </w:pPr>
      <w:r>
        <w:rPr>
          <w:rFonts w:hint="eastAsia" w:ascii="CESI仿宋-GB2312" w:hAnsi="CESI仿宋-GB2312" w:eastAsia="CESI仿宋-GB2312" w:cs="CESI仿宋-GB2312"/>
          <w:b/>
          <w:i w:val="0"/>
          <w:color w:val="auto"/>
          <w:sz w:val="32"/>
          <w:szCs w:val="32"/>
          <w:highlight w:val="none"/>
        </w:rPr>
        <w:t>第</w:t>
      </w:r>
      <w:r>
        <w:rPr>
          <w:rFonts w:hint="eastAsia" w:ascii="CESI仿宋-GB2312" w:hAnsi="CESI仿宋-GB2312" w:eastAsia="CESI仿宋-GB2312" w:cs="CESI仿宋-GB2312"/>
          <w:b/>
          <w:i w:val="0"/>
          <w:color w:val="auto"/>
          <w:sz w:val="32"/>
          <w:szCs w:val="32"/>
          <w:highlight w:val="none"/>
          <w:lang w:val="en-US" w:eastAsia="zh-CN"/>
        </w:rPr>
        <w:t>十五</w:t>
      </w:r>
      <w:r>
        <w:rPr>
          <w:rFonts w:hint="eastAsia" w:ascii="CESI仿宋-GB2312" w:hAnsi="CESI仿宋-GB2312" w:eastAsia="CESI仿宋-GB2312" w:cs="CESI仿宋-GB2312"/>
          <w:b/>
          <w:i w:val="0"/>
          <w:color w:val="auto"/>
          <w:sz w:val="32"/>
          <w:szCs w:val="32"/>
          <w:highlight w:val="none"/>
        </w:rPr>
        <w:t>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color w:val="auto"/>
          <w:sz w:val="32"/>
          <w:szCs w:val="32"/>
          <w:highlight w:val="none"/>
          <w:lang w:eastAsia="zh-CN"/>
        </w:rPr>
        <w:t>本规划中涉及的中小学校、幼儿园，是指在当地教育行政主管部门核准登记目录内的普通中小学、特殊教育学校、中等职业学校、专门学校等教育对象中存在未满18周岁未成年人的教育机构。</w:t>
      </w:r>
    </w:p>
    <w:p w14:paraId="38F9BCEA">
      <w:pPr>
        <w:pStyle w:val="11"/>
        <w:keepNext w:val="0"/>
        <w:keepLines w:val="0"/>
        <w:pageBreakBefore w:val="0"/>
        <w:widowControl/>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b/>
          <w:i w:val="0"/>
          <w:color w:val="auto"/>
          <w:sz w:val="32"/>
          <w:szCs w:val="32"/>
          <w:highlight w:val="none"/>
          <w:lang w:val="en-US" w:eastAsia="zh-CN"/>
        </w:rPr>
        <w:t>第十六条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color w:val="auto"/>
          <w:sz w:val="32"/>
          <w:szCs w:val="32"/>
          <w:highlight w:val="none"/>
          <w:lang w:eastAsia="zh-CN"/>
        </w:rPr>
        <w:t>本规划不溯及已依法取得烟草专卖零售许可证的现有零售点；</w:t>
      </w:r>
      <w:r>
        <w:rPr>
          <w:rFonts w:hint="eastAsia" w:ascii="CESI仿宋-GB2312" w:hAnsi="CESI仿宋-GB2312" w:eastAsia="CESI仿宋-GB2312" w:cs="CESI仿宋-GB2312"/>
          <w:i w:val="0"/>
          <w:color w:val="auto"/>
          <w:sz w:val="32"/>
          <w:szCs w:val="32"/>
          <w:highlight w:val="none"/>
        </w:rPr>
        <w:t>但</w:t>
      </w:r>
      <w:r>
        <w:rPr>
          <w:rFonts w:hint="eastAsia" w:ascii="CESI仿宋-GB2312" w:hAnsi="CESI仿宋-GB2312" w:eastAsia="CESI仿宋-GB2312" w:cs="CESI仿宋-GB2312"/>
          <w:i w:val="0"/>
          <w:color w:val="auto"/>
          <w:sz w:val="32"/>
          <w:szCs w:val="32"/>
          <w:highlight w:val="none"/>
          <w:lang w:eastAsia="zh-CN"/>
        </w:rPr>
        <w:t>对于符合到期不予延续规定的，</w:t>
      </w:r>
      <w:r>
        <w:rPr>
          <w:rFonts w:hint="eastAsia" w:ascii="CESI仿宋-GB2312" w:hAnsi="CESI仿宋-GB2312" w:eastAsia="CESI仿宋-GB2312" w:cs="CESI仿宋-GB2312"/>
          <w:i w:val="0"/>
          <w:color w:val="auto"/>
          <w:sz w:val="32"/>
          <w:szCs w:val="32"/>
          <w:highlight w:val="none"/>
        </w:rPr>
        <w:t>许可证有效期届满后不予延续。</w:t>
      </w:r>
    </w:p>
    <w:p w14:paraId="7495E16F">
      <w:pPr>
        <w:pStyle w:val="11"/>
        <w:keepNext w:val="0"/>
        <w:keepLines w:val="0"/>
        <w:pageBreakBefore w:val="0"/>
        <w:widowControl/>
        <w:numPr>
          <w:ilvl w:val="0"/>
          <w:numId w:val="0"/>
        </w:numPr>
        <w:kinsoku/>
        <w:wordWrap/>
        <w:overflowPunct/>
        <w:topLinePunct w:val="0"/>
        <w:autoSpaceDE/>
        <w:autoSpaceDN/>
        <w:bidi w:val="0"/>
        <w:adjustRightInd/>
        <w:snapToGrid/>
        <w:spacing w:line="240" w:lineRule="auto"/>
        <w:ind w:firstLine="616" w:firstLineChars="200"/>
        <w:jc w:val="left"/>
        <w:textAlignment w:val="auto"/>
        <w:rPr>
          <w:rFonts w:hint="eastAsia" w:ascii="CESI仿宋-GB2312" w:hAnsi="CESI仿宋-GB2312" w:eastAsia="CESI仿宋-GB2312" w:cs="CESI仿宋-GB2312"/>
          <w:i w:val="0"/>
          <w:color w:val="auto"/>
          <w:sz w:val="32"/>
          <w:szCs w:val="32"/>
          <w:highlight w:val="none"/>
          <w:lang w:eastAsia="zh-CN"/>
        </w:rPr>
      </w:pPr>
      <w:r>
        <w:rPr>
          <w:rFonts w:hint="eastAsia" w:ascii="CESI仿宋-GB2312" w:hAnsi="CESI仿宋-GB2312" w:eastAsia="CESI仿宋-GB2312" w:cs="CESI仿宋-GB2312"/>
          <w:b/>
          <w:i w:val="0"/>
          <w:color w:val="auto"/>
          <w:sz w:val="32"/>
          <w:szCs w:val="32"/>
          <w:highlight w:val="none"/>
        </w:rPr>
        <w:t>第</w:t>
      </w:r>
      <w:r>
        <w:rPr>
          <w:rFonts w:hint="eastAsia" w:ascii="CESI仿宋-GB2312" w:hAnsi="CESI仿宋-GB2312" w:eastAsia="CESI仿宋-GB2312" w:cs="CESI仿宋-GB2312"/>
          <w:b/>
          <w:i w:val="0"/>
          <w:color w:val="auto"/>
          <w:sz w:val="32"/>
          <w:szCs w:val="32"/>
          <w:highlight w:val="none"/>
          <w:lang w:val="en-US" w:eastAsia="zh-CN"/>
        </w:rPr>
        <w:t>十七</w:t>
      </w:r>
      <w:r>
        <w:rPr>
          <w:rFonts w:hint="eastAsia" w:ascii="CESI仿宋-GB2312" w:hAnsi="CESI仿宋-GB2312" w:eastAsia="CESI仿宋-GB2312" w:cs="CESI仿宋-GB2312"/>
          <w:b/>
          <w:i w:val="0"/>
          <w:color w:val="auto"/>
          <w:sz w:val="32"/>
          <w:szCs w:val="32"/>
          <w:highlight w:val="none"/>
        </w:rPr>
        <w:t>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color w:val="auto"/>
          <w:sz w:val="32"/>
          <w:szCs w:val="32"/>
          <w:highlight w:val="none"/>
          <w:lang w:eastAsia="zh-CN"/>
        </w:rPr>
        <w:t>本规划中的“不足”“以上”“不小于”“不超过”均包括本数。涉及放宽间隔距离计算的，结果按照“四舍五入”取整数核定。</w:t>
      </w:r>
    </w:p>
    <w:p w14:paraId="60D6CAD3">
      <w:pPr>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pacing w:val="-6"/>
          <w:sz w:val="32"/>
          <w:szCs w:val="32"/>
          <w:highlight w:val="none"/>
          <w:lang w:eastAsia="zh-CN" w:bidi="ug-CN"/>
        </w:rPr>
      </w:pPr>
      <w:r>
        <w:rPr>
          <w:rFonts w:hint="eastAsia" w:ascii="CESI仿宋-GB2312" w:hAnsi="CESI仿宋-GB2312" w:eastAsia="CESI仿宋-GB2312" w:cs="CESI仿宋-GB2312"/>
          <w:b/>
          <w:i w:val="0"/>
          <w:snapToGrid w:val="0"/>
          <w:color w:val="auto"/>
          <w:spacing w:val="-6"/>
          <w:kern w:val="0"/>
          <w:sz w:val="32"/>
          <w:szCs w:val="32"/>
          <w:highlight w:val="none"/>
          <w:lang w:val="en-US" w:eastAsia="en-US" w:bidi="ar-SA"/>
        </w:rPr>
        <w:t>第</w:t>
      </w:r>
      <w:r>
        <w:rPr>
          <w:rFonts w:hint="eastAsia" w:ascii="CESI仿宋-GB2312" w:hAnsi="CESI仿宋-GB2312" w:eastAsia="CESI仿宋-GB2312" w:cs="CESI仿宋-GB2312"/>
          <w:b/>
          <w:i w:val="0"/>
          <w:snapToGrid w:val="0"/>
          <w:color w:val="auto"/>
          <w:spacing w:val="-6"/>
          <w:kern w:val="0"/>
          <w:sz w:val="32"/>
          <w:szCs w:val="32"/>
          <w:highlight w:val="none"/>
          <w:lang w:val="en-US" w:eastAsia="zh-CN" w:bidi="ar-SA"/>
        </w:rPr>
        <w:t>十八</w:t>
      </w:r>
      <w:r>
        <w:rPr>
          <w:rFonts w:hint="eastAsia" w:ascii="CESI仿宋-GB2312" w:hAnsi="CESI仿宋-GB2312" w:eastAsia="CESI仿宋-GB2312" w:cs="CESI仿宋-GB2312"/>
          <w:b/>
          <w:i w:val="0"/>
          <w:snapToGrid w:val="0"/>
          <w:color w:val="auto"/>
          <w:spacing w:val="-6"/>
          <w:kern w:val="0"/>
          <w:sz w:val="32"/>
          <w:szCs w:val="32"/>
          <w:highlight w:val="none"/>
          <w:lang w:val="en-US" w:eastAsia="en-US" w:bidi="ar-SA"/>
        </w:rPr>
        <w:t>条</w:t>
      </w:r>
      <w:r>
        <w:rPr>
          <w:rFonts w:hint="eastAsia" w:ascii="CESI仿宋-GB2312" w:hAnsi="CESI仿宋-GB2312" w:eastAsia="CESI仿宋-GB2312" w:cs="CESI仿宋-GB2312"/>
          <w:i w:val="0"/>
          <w:color w:val="auto"/>
          <w:sz w:val="32"/>
          <w:szCs w:val="32"/>
          <w:highlight w:val="none"/>
        </w:rPr>
        <w:t>　</w:t>
      </w:r>
      <w:r>
        <w:rPr>
          <w:rFonts w:hint="eastAsia" w:ascii="CESI仿宋-GB2312" w:hAnsi="CESI仿宋-GB2312" w:eastAsia="CESI仿宋-GB2312" w:cs="CESI仿宋-GB2312"/>
          <w:i w:val="0"/>
          <w:snapToGrid w:val="0"/>
          <w:color w:val="auto"/>
          <w:spacing w:val="-6"/>
          <w:kern w:val="0"/>
          <w:sz w:val="32"/>
          <w:szCs w:val="32"/>
          <w:highlight w:val="none"/>
          <w:lang w:val="en-US" w:eastAsia="en-US" w:bidi="ar-SA"/>
        </w:rPr>
        <w:t>在合理</w:t>
      </w:r>
      <w:r>
        <w:rPr>
          <w:rFonts w:hint="eastAsia" w:ascii="CESI仿宋-GB2312" w:hAnsi="CESI仿宋-GB2312" w:eastAsia="CESI仿宋-GB2312" w:cs="CESI仿宋-GB2312"/>
          <w:i w:val="0"/>
          <w:snapToGrid w:val="0"/>
          <w:color w:val="auto"/>
          <w:spacing w:val="-6"/>
          <w:kern w:val="0"/>
          <w:sz w:val="32"/>
          <w:szCs w:val="32"/>
          <w:highlight w:val="none"/>
          <w:lang w:val="en-US" w:eastAsia="zh-CN" w:bidi="ar-SA"/>
        </w:rPr>
        <w:t>布局规划运行中，对不适宜的规定及时做出调整，涉及重大条款、零售点合理数量、间隔距离标准和其他符合当地实际、科学合理的布局模式调整的，修订程序应依照合理布局规划的修订程序进行。</w:t>
      </w:r>
    </w:p>
    <w:p w14:paraId="5073AA13">
      <w:pPr>
        <w:pStyle w:val="11"/>
        <w:keepNext w:val="0"/>
        <w:keepLines w:val="0"/>
        <w:pageBreakBefore w:val="0"/>
        <w:wordWrap/>
        <w:overflowPunct/>
        <w:topLinePunct w:val="0"/>
        <w:bidi w:val="0"/>
        <w:spacing w:line="240" w:lineRule="auto"/>
        <w:ind w:firstLine="616" w:firstLineChars="200"/>
        <w:jc w:val="left"/>
        <w:rPr>
          <w:rFonts w:hint="eastAsia" w:ascii="CESI仿宋-GB2312" w:hAnsi="CESI仿宋-GB2312" w:eastAsia="CESI仿宋-GB2312" w:cs="CESI仿宋-GB2312"/>
          <w:i w:val="0"/>
          <w:color w:val="auto"/>
          <w:sz w:val="32"/>
          <w:szCs w:val="32"/>
          <w:highlight w:val="none"/>
        </w:rPr>
      </w:pPr>
      <w:r>
        <w:rPr>
          <w:rFonts w:hint="eastAsia" w:ascii="CESI仿宋-GB2312" w:hAnsi="CESI仿宋-GB2312" w:eastAsia="CESI仿宋-GB2312" w:cs="CESI仿宋-GB2312"/>
          <w:b/>
          <w:i w:val="0"/>
          <w:color w:val="auto"/>
          <w:sz w:val="32"/>
          <w:szCs w:val="32"/>
          <w:highlight w:val="none"/>
        </w:rPr>
        <w:t>第</w:t>
      </w:r>
      <w:r>
        <w:rPr>
          <w:rFonts w:hint="eastAsia" w:ascii="CESI仿宋-GB2312" w:hAnsi="CESI仿宋-GB2312" w:eastAsia="CESI仿宋-GB2312" w:cs="CESI仿宋-GB2312"/>
          <w:b/>
          <w:i w:val="0"/>
          <w:color w:val="auto"/>
          <w:sz w:val="32"/>
          <w:szCs w:val="32"/>
          <w:highlight w:val="none"/>
          <w:lang w:eastAsia="zh-CN"/>
        </w:rPr>
        <w:t>十九</w:t>
      </w:r>
      <w:r>
        <w:rPr>
          <w:rFonts w:hint="eastAsia" w:ascii="CESI仿宋-GB2312" w:hAnsi="CESI仿宋-GB2312" w:eastAsia="CESI仿宋-GB2312" w:cs="CESI仿宋-GB2312"/>
          <w:b/>
          <w:i w:val="0"/>
          <w:color w:val="auto"/>
          <w:sz w:val="32"/>
          <w:szCs w:val="32"/>
          <w:highlight w:val="none"/>
        </w:rPr>
        <w:t>条</w:t>
      </w:r>
      <w:r>
        <w:rPr>
          <w:rFonts w:hint="eastAsia" w:ascii="CESI仿宋-GB2312" w:hAnsi="CESI仿宋-GB2312" w:eastAsia="CESI仿宋-GB2312" w:cs="CESI仿宋-GB2312"/>
          <w:i w:val="0"/>
          <w:color w:val="auto"/>
          <w:sz w:val="32"/>
          <w:szCs w:val="32"/>
          <w:highlight w:val="none"/>
        </w:rPr>
        <w:t>　本</w:t>
      </w:r>
      <w:r>
        <w:rPr>
          <w:rFonts w:hint="eastAsia" w:ascii="CESI仿宋-GB2312" w:hAnsi="CESI仿宋-GB2312" w:eastAsia="CESI仿宋-GB2312" w:cs="CESI仿宋-GB2312"/>
          <w:i w:val="0"/>
          <w:color w:val="auto"/>
          <w:sz w:val="32"/>
          <w:szCs w:val="32"/>
          <w:highlight w:val="none"/>
          <w:lang w:eastAsia="zh-CN"/>
        </w:rPr>
        <w:t>规划自</w:t>
      </w:r>
      <w:r>
        <w:rPr>
          <w:rFonts w:hint="eastAsia" w:ascii="CESI仿宋-GB2312" w:hAnsi="CESI仿宋-GB2312" w:eastAsia="CESI仿宋-GB2312" w:cs="CESI仿宋-GB2312"/>
          <w:i w:val="0"/>
          <w:color w:val="auto"/>
          <w:sz w:val="32"/>
          <w:szCs w:val="32"/>
          <w:highlight w:val="none"/>
          <w:lang w:val="en-US" w:eastAsia="zh-CN"/>
        </w:rPr>
        <w:t>2026</w:t>
      </w:r>
      <w:r>
        <w:rPr>
          <w:rFonts w:hint="eastAsia" w:ascii="CESI仿宋-GB2312" w:hAnsi="CESI仿宋-GB2312" w:eastAsia="CESI仿宋-GB2312" w:cs="CESI仿宋-GB2312"/>
          <w:i w:val="0"/>
          <w:color w:val="auto"/>
          <w:sz w:val="32"/>
          <w:szCs w:val="32"/>
          <w:highlight w:val="none"/>
          <w:lang w:eastAsia="zh-CN"/>
        </w:rPr>
        <w:t>年</w:t>
      </w:r>
      <w:r>
        <w:rPr>
          <w:rFonts w:hint="eastAsia" w:ascii="CESI仿宋-GB2312" w:hAnsi="CESI仿宋-GB2312" w:eastAsia="CESI仿宋-GB2312" w:cs="CESI仿宋-GB2312"/>
          <w:i w:val="0"/>
          <w:color w:val="auto"/>
          <w:sz w:val="32"/>
          <w:szCs w:val="32"/>
          <w:highlight w:val="none"/>
          <w:lang w:val="en-US" w:eastAsia="zh-CN"/>
        </w:rPr>
        <w:t>10</w:t>
      </w:r>
      <w:r>
        <w:rPr>
          <w:rFonts w:hint="eastAsia" w:ascii="CESI仿宋-GB2312" w:hAnsi="CESI仿宋-GB2312" w:eastAsia="CESI仿宋-GB2312" w:cs="CESI仿宋-GB2312"/>
          <w:i w:val="0"/>
          <w:color w:val="auto"/>
          <w:sz w:val="32"/>
          <w:szCs w:val="32"/>
          <w:highlight w:val="none"/>
          <w:lang w:eastAsia="zh-CN"/>
        </w:rPr>
        <w:t>月</w:t>
      </w:r>
      <w:r>
        <w:rPr>
          <w:rFonts w:hint="eastAsia" w:ascii="CESI仿宋-GB2312" w:hAnsi="CESI仿宋-GB2312" w:eastAsia="CESI仿宋-GB2312" w:cs="CESI仿宋-GB2312"/>
          <w:i w:val="0"/>
          <w:color w:val="auto"/>
          <w:sz w:val="32"/>
          <w:szCs w:val="32"/>
          <w:highlight w:val="none"/>
          <w:lang w:val="en-US" w:eastAsia="zh-CN"/>
        </w:rPr>
        <w:t>23</w:t>
      </w:r>
      <w:r>
        <w:rPr>
          <w:rFonts w:hint="eastAsia" w:ascii="CESI仿宋-GB2312" w:hAnsi="CESI仿宋-GB2312" w:eastAsia="CESI仿宋-GB2312" w:cs="CESI仿宋-GB2312"/>
          <w:i w:val="0"/>
          <w:color w:val="auto"/>
          <w:sz w:val="32"/>
          <w:szCs w:val="32"/>
          <w:highlight w:val="none"/>
          <w:lang w:eastAsia="zh-CN"/>
        </w:rPr>
        <w:t>日起实施，具体内容由和布克赛尔蒙古自治县烟草专卖局负责解释，原</w:t>
      </w:r>
      <w:r>
        <w:rPr>
          <w:rFonts w:hint="eastAsia" w:ascii="CESI仿宋-GB2312" w:hAnsi="CESI仿宋-GB2312" w:eastAsia="CESI仿宋-GB2312" w:cs="CESI仿宋-GB2312"/>
          <w:i w:val="0"/>
          <w:color w:val="auto"/>
          <w:sz w:val="32"/>
          <w:szCs w:val="32"/>
          <w:highlight w:val="none"/>
          <w:lang w:val="en-US" w:eastAsia="zh-CN"/>
        </w:rPr>
        <w:t>2021年10月公布的</w:t>
      </w:r>
      <w:r>
        <w:rPr>
          <w:rFonts w:hint="eastAsia" w:ascii="CESI仿宋-GB2312" w:hAnsi="CESI仿宋-GB2312" w:eastAsia="CESI仿宋-GB2312" w:cs="CESI仿宋-GB2312"/>
          <w:i w:val="0"/>
          <w:color w:val="auto"/>
          <w:sz w:val="32"/>
          <w:szCs w:val="32"/>
          <w:highlight w:val="none"/>
          <w:lang w:eastAsia="zh-CN"/>
        </w:rPr>
        <w:t>《塔城地区和布克赛尔蒙古自治县烟草制品零售点合理布局规划》同时废止</w:t>
      </w:r>
      <w:r>
        <w:rPr>
          <w:rFonts w:hint="eastAsia" w:ascii="CESI仿宋-GB2312" w:hAnsi="CESI仿宋-GB2312" w:eastAsia="CESI仿宋-GB2312" w:cs="CESI仿宋-GB2312"/>
          <w:i w:val="0"/>
          <w:color w:val="auto"/>
          <w:sz w:val="32"/>
          <w:szCs w:val="32"/>
          <w:highlight w:val="none"/>
          <w:lang w:val="en-US" w:eastAsia="zh-CN"/>
        </w:rPr>
        <w:t>。</w:t>
      </w:r>
    </w:p>
    <w:sectPr>
      <w:footerReference r:id="rId5" w:type="default"/>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1" w:fontKey="{DE7F83EF-EF00-4E63-9C24-33938BE5A98B}"/>
  </w:font>
  <w:font w:name="仿宋_GB2312">
    <w:panose1 w:val="02010609030101010101"/>
    <w:charset w:val="86"/>
    <w:family w:val="auto"/>
    <w:pitch w:val="default"/>
    <w:sig w:usb0="00000001" w:usb1="080E0000" w:usb2="00000000" w:usb3="00000000" w:csb0="00040000" w:csb1="00000000"/>
    <w:embedRegular r:id="rId2" w:fontKey="{FFBCBE7F-FF52-4B6D-9A24-9087CA0141BB}"/>
  </w:font>
  <w:font w:name="微软雅黑">
    <w:panose1 w:val="020B0503020204020204"/>
    <w:charset w:val="86"/>
    <w:family w:val="auto"/>
    <w:pitch w:val="default"/>
    <w:sig w:usb0="80000287" w:usb1="2ACF3C50" w:usb2="00000016" w:usb3="00000000" w:csb0="0004001F" w:csb1="00000000"/>
    <w:embedRegular r:id="rId3" w:fontKey="{37F2178B-EDFC-419C-9C87-5C6E7C3674C6}"/>
  </w:font>
  <w:font w:name="CESI仿宋-GB2312">
    <w:altName w:val="仿宋"/>
    <w:panose1 w:val="02000500000000000000"/>
    <w:charset w:val="86"/>
    <w:family w:val="auto"/>
    <w:pitch w:val="default"/>
    <w:sig w:usb0="00000000" w:usb1="00000000" w:usb2="00000010" w:usb3="00000000" w:csb0="0004000F" w:csb1="00000000"/>
    <w:embedRegular r:id="rId4" w:fontKey="{49075C9F-F1EA-4724-BE9F-684C6DD8BDCD}"/>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embedRegular r:id="rId5" w:fontKey="{9DE0E0C3-8360-4409-AFA2-752EDBA83879}"/>
  </w:font>
  <w:font w:name="KSOF557087D0">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EE9D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0506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6CF0506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E3AA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6CCE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24E6CCE3">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DD4248"/>
    <w:rsid w:val="03EE2141"/>
    <w:rsid w:val="04DE21B6"/>
    <w:rsid w:val="08805692"/>
    <w:rsid w:val="0C28640C"/>
    <w:rsid w:val="15FC47B3"/>
    <w:rsid w:val="1A844FDB"/>
    <w:rsid w:val="1C5C7665"/>
    <w:rsid w:val="1D102CD1"/>
    <w:rsid w:val="1D5373FC"/>
    <w:rsid w:val="203EA529"/>
    <w:rsid w:val="205B0707"/>
    <w:rsid w:val="210765C4"/>
    <w:rsid w:val="21C36564"/>
    <w:rsid w:val="224E0D6A"/>
    <w:rsid w:val="23D95D1B"/>
    <w:rsid w:val="25387269"/>
    <w:rsid w:val="266065F7"/>
    <w:rsid w:val="27520F90"/>
    <w:rsid w:val="283A6840"/>
    <w:rsid w:val="2F310AA4"/>
    <w:rsid w:val="30EB723A"/>
    <w:rsid w:val="33DE3814"/>
    <w:rsid w:val="370861DB"/>
    <w:rsid w:val="3DFF3F5C"/>
    <w:rsid w:val="400F36D9"/>
    <w:rsid w:val="406E0B63"/>
    <w:rsid w:val="44407565"/>
    <w:rsid w:val="47313470"/>
    <w:rsid w:val="4A4D1D7C"/>
    <w:rsid w:val="4CB443F0"/>
    <w:rsid w:val="4CDD4248"/>
    <w:rsid w:val="4E944C60"/>
    <w:rsid w:val="51052EE5"/>
    <w:rsid w:val="55770F8B"/>
    <w:rsid w:val="55FE3A06"/>
    <w:rsid w:val="5678625A"/>
    <w:rsid w:val="574530FC"/>
    <w:rsid w:val="577F0A30"/>
    <w:rsid w:val="57949D66"/>
    <w:rsid w:val="57F86260"/>
    <w:rsid w:val="596647A3"/>
    <w:rsid w:val="599172FE"/>
    <w:rsid w:val="5A6D2361"/>
    <w:rsid w:val="5CC01068"/>
    <w:rsid w:val="61644A34"/>
    <w:rsid w:val="624F5587"/>
    <w:rsid w:val="65491B18"/>
    <w:rsid w:val="65F8295A"/>
    <w:rsid w:val="65FBBF1C"/>
    <w:rsid w:val="682D0F2B"/>
    <w:rsid w:val="696A02DF"/>
    <w:rsid w:val="6AD21A35"/>
    <w:rsid w:val="6BDEA068"/>
    <w:rsid w:val="6C4C04D0"/>
    <w:rsid w:val="6EFF79A9"/>
    <w:rsid w:val="6F1F9419"/>
    <w:rsid w:val="6FB75E37"/>
    <w:rsid w:val="6FDE095E"/>
    <w:rsid w:val="6FEBEB96"/>
    <w:rsid w:val="71C850B0"/>
    <w:rsid w:val="74B533B2"/>
    <w:rsid w:val="763FD266"/>
    <w:rsid w:val="78000AED"/>
    <w:rsid w:val="7833095B"/>
    <w:rsid w:val="79714FA0"/>
    <w:rsid w:val="7AE72580"/>
    <w:rsid w:val="7D3E1DF9"/>
    <w:rsid w:val="7EA65E24"/>
    <w:rsid w:val="7F662448"/>
    <w:rsid w:val="7F7F3D9F"/>
    <w:rsid w:val="7FB63880"/>
    <w:rsid w:val="7FDF05D2"/>
    <w:rsid w:val="7FF5EA38"/>
    <w:rsid w:val="9F61B4E1"/>
    <w:rsid w:val="ADDF7031"/>
    <w:rsid w:val="ADED648D"/>
    <w:rsid w:val="B7FB088A"/>
    <w:rsid w:val="B7FFC32E"/>
    <w:rsid w:val="BAFF7E65"/>
    <w:rsid w:val="BFE50691"/>
    <w:rsid w:val="BFFC4EA9"/>
    <w:rsid w:val="D7DD3D60"/>
    <w:rsid w:val="E4DFBB6F"/>
    <w:rsid w:val="E8BB67AB"/>
    <w:rsid w:val="ED3F09F0"/>
    <w:rsid w:val="EEF7D774"/>
    <w:rsid w:val="EF7FC540"/>
    <w:rsid w:val="EFBF346A"/>
    <w:rsid w:val="F1EC8D5C"/>
    <w:rsid w:val="FE3B8FEB"/>
    <w:rsid w:val="FFB7F729"/>
    <w:rsid w:val="FFCF217C"/>
    <w:rsid w:val="FFED65B0"/>
    <w:rsid w:val="FFEF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rPr>
      <w:sz w:val="24"/>
    </w:rPr>
  </w:style>
  <w:style w:type="paragraph" w:styleId="16">
    <w:name w:val="Title"/>
    <w:qFormat/>
    <w:uiPriority w:val="0"/>
    <w:pPr>
      <w:spacing w:line="720" w:lineRule="exact"/>
      <w:jc w:val="center"/>
      <w:outlineLvl w:val="9"/>
    </w:pPr>
    <w:rPr>
      <w:rFonts w:ascii="微软雅黑" w:hAnsi="微软雅黑" w:eastAsia="微软雅黑" w:cs="微软雅黑"/>
      <w:sz w:val="44"/>
      <w:szCs w:val="44"/>
    </w:rPr>
  </w:style>
  <w:style w:type="paragraph" w:customStyle="1" w:styleId="19">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20">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6835</Words>
  <Characters>6991</Characters>
  <Lines>0</Lines>
  <Paragraphs>0</Paragraphs>
  <TotalTime>38</TotalTime>
  <ScaleCrop>false</ScaleCrop>
  <LinksUpToDate>false</LinksUpToDate>
  <CharactersWithSpaces>7020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2026-06-21T04:34:00Z</dcterms:created>
  <dc:creator>守口如瓶的帽子</dc:creator>
  <cp:lastModifiedBy>Dave</cp:lastModifiedBy>
  <cp:lastPrinted>2026-08-09T12:01:00Z</cp:lastPrinted>
  <dcterms:modified xsi:type="dcterms:W3CDTF">2026-09-22T05:32:45Z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42926FE2104726F722A0B06AE590EE6D_43</vt:lpwstr>
  </property>
  <property fmtid="{D5CDD505-2E9C-101B-9397-08002B2CF9AE}" pid="4" name="KSOTemplateDocerSaveRecord">
    <vt:lpwstr>eyJoZGlkIjoiYTYzNzdmMTQyZGJkZGZkYzMxYTA0YmYwMTRkYzI2ZmYiLCJ1c2VySWQiOiI1OTIyMDA2OTEifQ==</vt:lpwstr>
  </property>
  <property fmtid="{D5CDD505-2E9C-101B-9397-08002B2CF9AE}" pid="5" name="标题_1">
    <vt:lpwstr>塔城地区和布克赛尔蒙古自治县烟草制品零售点合理布局规划（草案）</vt:lpwstr>
  </property>
</Properties>
</file>