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1E7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微软雅黑" w:cs="Times New Roman"/>
          <w:sz w:val="44"/>
          <w:szCs w:val="44"/>
          <w:lang w:val="en-US" w:eastAsia="zh-CN"/>
        </w:rPr>
      </w:pPr>
      <w:r>
        <w:rPr>
          <w:rFonts w:hint="default" w:ascii="Times New Roman" w:hAnsi="Times New Roman" w:eastAsia="微软雅黑" w:cs="Times New Roman"/>
          <w:sz w:val="44"/>
          <w:szCs w:val="44"/>
          <w:lang w:val="en-US" w:eastAsia="zh-CN"/>
        </w:rPr>
        <w:t>2023年和布克赛尔县地膜科学使用回收</w:t>
      </w:r>
    </w:p>
    <w:p w14:paraId="03D8DF7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微软雅黑" w:cs="Times New Roman"/>
          <w:sz w:val="44"/>
          <w:szCs w:val="44"/>
          <w:lang w:val="en-US" w:eastAsia="zh-CN"/>
        </w:rPr>
      </w:pPr>
      <w:r>
        <w:rPr>
          <w:rFonts w:hint="default" w:ascii="Times New Roman" w:hAnsi="Times New Roman" w:eastAsia="微软雅黑" w:cs="Times New Roman"/>
          <w:sz w:val="44"/>
          <w:szCs w:val="44"/>
          <w:lang w:val="en-US" w:eastAsia="zh-CN"/>
        </w:rPr>
        <w:t>项目</w:t>
      </w:r>
      <w:r>
        <w:rPr>
          <w:rFonts w:hint="eastAsia" w:ascii="Times New Roman" w:hAnsi="Times New Roman" w:eastAsia="微软雅黑" w:cs="Times New Roman"/>
          <w:sz w:val="44"/>
          <w:szCs w:val="44"/>
          <w:lang w:val="en-US" w:eastAsia="zh-CN"/>
        </w:rPr>
        <w:t>资金及任务</w:t>
      </w:r>
      <w:r>
        <w:rPr>
          <w:rFonts w:hint="default" w:ascii="Times New Roman" w:hAnsi="Times New Roman" w:eastAsia="微软雅黑" w:cs="Times New Roman"/>
          <w:sz w:val="44"/>
          <w:szCs w:val="44"/>
          <w:lang w:val="en-US" w:eastAsia="zh-CN"/>
        </w:rPr>
        <w:t>结转</w:t>
      </w:r>
      <w:r>
        <w:rPr>
          <w:rFonts w:hint="eastAsia" w:ascii="Times New Roman" w:hAnsi="Times New Roman" w:eastAsia="微软雅黑" w:cs="Times New Roman"/>
          <w:sz w:val="44"/>
          <w:szCs w:val="44"/>
          <w:lang w:val="en-US" w:eastAsia="zh-CN"/>
        </w:rPr>
        <w:t>至</w:t>
      </w:r>
      <w:r>
        <w:rPr>
          <w:rFonts w:hint="default" w:ascii="Times New Roman" w:hAnsi="Times New Roman" w:eastAsia="微软雅黑" w:cs="Times New Roman"/>
          <w:sz w:val="44"/>
          <w:szCs w:val="44"/>
          <w:lang w:val="en-US" w:eastAsia="zh-CN"/>
        </w:rPr>
        <w:t>2026年</w:t>
      </w:r>
      <w:r>
        <w:rPr>
          <w:rFonts w:hint="eastAsia" w:ascii="Times New Roman" w:hAnsi="Times New Roman" w:eastAsia="微软雅黑" w:cs="Times New Roman"/>
          <w:sz w:val="44"/>
          <w:szCs w:val="44"/>
          <w:lang w:val="en-US" w:eastAsia="zh-CN"/>
        </w:rPr>
        <w:t>使用</w:t>
      </w:r>
    </w:p>
    <w:p w14:paraId="365435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微软雅黑" w:cs="Times New Roman"/>
          <w:sz w:val="44"/>
          <w:szCs w:val="44"/>
          <w:lang w:val="en-US" w:eastAsia="zh-CN"/>
        </w:rPr>
        <w:t>实施</w:t>
      </w:r>
      <w:r>
        <w:rPr>
          <w:rFonts w:hint="default" w:ascii="Times New Roman" w:hAnsi="Times New Roman" w:eastAsia="微软雅黑" w:cs="Times New Roman"/>
          <w:sz w:val="44"/>
          <w:szCs w:val="44"/>
          <w:lang w:val="en-US" w:eastAsia="zh-CN"/>
        </w:rPr>
        <w:t>方案</w:t>
      </w:r>
    </w:p>
    <w:p w14:paraId="3D0549FF">
      <w:pPr>
        <w:pStyle w:val="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p>
    <w:p w14:paraId="089C40C0">
      <w:pPr>
        <w:pStyle w:val="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Cs/>
          <w:sz w:val="32"/>
          <w:szCs w:val="32"/>
        </w:rPr>
        <w:t>为贯彻落实2025年自治区党委一号文件部署要求，有序推</w:t>
      </w:r>
      <w:r>
        <w:rPr>
          <w:rFonts w:hint="default" w:ascii="Times New Roman" w:hAnsi="Times New Roman" w:eastAsia="仿宋_GB2312" w:cs="Times New Roman"/>
          <w:bCs/>
          <w:sz w:val="32"/>
          <w:szCs w:val="32"/>
          <w:lang w:eastAsia="zh-CN"/>
        </w:rPr>
        <w:t>进和布克赛尔蒙古自治县</w:t>
      </w:r>
      <w:r>
        <w:rPr>
          <w:rFonts w:hint="default"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年地膜科学使用回收</w:t>
      </w:r>
      <w:r>
        <w:rPr>
          <w:rFonts w:hint="default" w:ascii="Times New Roman" w:hAnsi="Times New Roman" w:eastAsia="仿宋_GB2312" w:cs="Times New Roman"/>
          <w:bCs/>
          <w:sz w:val="32"/>
          <w:szCs w:val="32"/>
          <w:lang w:eastAsia="zh-CN"/>
        </w:rPr>
        <w:t>项目</w:t>
      </w:r>
      <w:r>
        <w:rPr>
          <w:rFonts w:hint="default" w:ascii="Times New Roman" w:hAnsi="Times New Roman" w:eastAsia="仿宋_GB2312" w:cs="Times New Roman"/>
          <w:bCs/>
          <w:sz w:val="32"/>
          <w:szCs w:val="32"/>
        </w:rPr>
        <w:t>工作</w:t>
      </w:r>
      <w:r>
        <w:rPr>
          <w:rFonts w:hint="default" w:ascii="Times New Roman" w:hAnsi="Times New Roman" w:eastAsia="仿宋_GB2312" w:cs="Times New Roman"/>
          <w:bCs/>
          <w:sz w:val="32"/>
          <w:szCs w:val="32"/>
          <w:lang w:eastAsia="zh-CN"/>
        </w:rPr>
        <w:t>结转至</w:t>
      </w:r>
      <w:r>
        <w:rPr>
          <w:rFonts w:hint="default" w:ascii="Times New Roman" w:hAnsi="Times New Roman" w:eastAsia="仿宋_GB2312" w:cs="Times New Roman"/>
          <w:bCs/>
          <w:sz w:val="32"/>
          <w:szCs w:val="32"/>
          <w:lang w:val="en-US" w:eastAsia="zh-CN"/>
        </w:rPr>
        <w:t>2026年实施</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根据</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2023年和布克赛尔县</w:t>
      </w:r>
      <w:r>
        <w:rPr>
          <w:rFonts w:hint="default" w:ascii="Times New Roman" w:hAnsi="Times New Roman" w:eastAsia="仿宋_GB2312" w:cs="Times New Roman"/>
          <w:bCs/>
          <w:sz w:val="32"/>
          <w:szCs w:val="32"/>
          <w:lang w:eastAsia="zh-CN"/>
        </w:rPr>
        <w:t>地膜</w:t>
      </w:r>
      <w:r>
        <w:rPr>
          <w:rFonts w:hint="default" w:ascii="Times New Roman" w:hAnsi="Times New Roman" w:eastAsia="仿宋_GB2312" w:cs="Times New Roman"/>
          <w:bCs/>
          <w:sz w:val="32"/>
          <w:szCs w:val="32"/>
          <w:lang w:val="en-US" w:eastAsia="zh-CN"/>
        </w:rPr>
        <w:t>科学</w:t>
      </w:r>
      <w:r>
        <w:rPr>
          <w:rFonts w:hint="default" w:ascii="Times New Roman" w:hAnsi="Times New Roman" w:eastAsia="仿宋_GB2312" w:cs="Times New Roman"/>
          <w:bCs/>
          <w:sz w:val="32"/>
          <w:szCs w:val="32"/>
          <w:lang w:eastAsia="zh-CN"/>
        </w:rPr>
        <w:t>使用回收项目实施方案</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文件要求，</w:t>
      </w:r>
      <w:r>
        <w:rPr>
          <w:rFonts w:hint="default" w:ascii="Times New Roman" w:hAnsi="Times New Roman" w:eastAsia="仿宋_GB2312" w:cs="Times New Roman"/>
          <w:b w:val="0"/>
          <w:bCs/>
          <w:sz w:val="32"/>
          <w:szCs w:val="32"/>
          <w:highlight w:val="none"/>
          <w:lang w:val="en-US" w:eastAsia="zh-CN"/>
        </w:rPr>
        <w:t>确保完成我县2023年项目推广应用加厚高强度地膜剩余</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8</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2442.89</w:t>
      </w:r>
      <w:r>
        <w:rPr>
          <w:rFonts w:hint="default" w:ascii="Times New Roman" w:hAnsi="Times New Roman" w:eastAsia="仿宋_GB2312" w:cs="Times New Roman"/>
          <w:b w:val="0"/>
          <w:bCs/>
          <w:sz w:val="32"/>
          <w:szCs w:val="32"/>
          <w:highlight w:val="none"/>
          <w:lang w:val="en-US" w:eastAsia="zh-CN"/>
        </w:rPr>
        <w:t>亩任务，项目区残膜回收率达到85%以上。结合我县实际，制定本方案。</w:t>
      </w:r>
    </w:p>
    <w:p w14:paraId="7AA5AF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b w:val="0"/>
          <w:bCs w:val="0"/>
          <w:sz w:val="32"/>
          <w:szCs w:val="32"/>
        </w:rPr>
        <w:t>一、基本情况</w:t>
      </w:r>
    </w:p>
    <w:p w14:paraId="1B04A73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val="en-US" w:eastAsia="zh-CN"/>
        </w:rPr>
        <w:t>县域</w:t>
      </w:r>
      <w:r>
        <w:rPr>
          <w:rFonts w:hint="default" w:ascii="Times New Roman" w:hAnsi="Times New Roman" w:eastAsia="楷体_GB2312" w:cs="Times New Roman"/>
          <w:b/>
          <w:bCs/>
          <w:sz w:val="32"/>
          <w:szCs w:val="32"/>
        </w:rPr>
        <w:t>基本情况</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sz w:val="32"/>
          <w:szCs w:val="32"/>
          <w:highlight w:val="none"/>
          <w:lang w:val="en-US" w:eastAsia="zh-CN"/>
        </w:rPr>
        <w:t>和布克赛尔县自农作物覆膜技术推广以来，使用农膜时间长达20年左右。目前，我县地膜覆盖栽培技术已从棉花发展到其它农作物，包括食葵、玉米、籽瓜类和加工辣椒等。我县地膜使用面积已达</w:t>
      </w:r>
      <w:r>
        <w:rPr>
          <w:rFonts w:hint="default" w:ascii="Times New Roman" w:hAnsi="Times New Roman" w:eastAsia="仿宋_GB2312" w:cs="Times New Roman"/>
          <w:b w:val="0"/>
          <w:bCs/>
          <w:color w:val="auto"/>
          <w:sz w:val="32"/>
          <w:szCs w:val="32"/>
          <w:highlight w:val="none"/>
          <w:lang w:val="en-US" w:eastAsia="zh-CN"/>
        </w:rPr>
        <w:t>到26.832万</w:t>
      </w:r>
      <w:r>
        <w:rPr>
          <w:rFonts w:hint="default" w:ascii="Times New Roman" w:hAnsi="Times New Roman" w:eastAsia="仿宋_GB2312" w:cs="Times New Roman"/>
          <w:b w:val="0"/>
          <w:bCs/>
          <w:sz w:val="32"/>
          <w:szCs w:val="32"/>
          <w:highlight w:val="none"/>
          <w:lang w:val="en-US" w:eastAsia="zh-CN"/>
        </w:rPr>
        <w:t>亩，</w:t>
      </w:r>
      <w:r>
        <w:rPr>
          <w:rFonts w:hint="eastAsia" w:ascii="Times New Roman" w:hAnsi="Times New Roman" w:eastAsia="仿宋_GB2312" w:cs="Times New Roman"/>
          <w:b w:val="0"/>
          <w:bCs/>
          <w:sz w:val="32"/>
          <w:szCs w:val="32"/>
          <w:highlight w:val="none"/>
          <w:lang w:val="en-US" w:eastAsia="zh-CN"/>
        </w:rPr>
        <w:t>以2025年为例，</w:t>
      </w:r>
      <w:r>
        <w:rPr>
          <w:rFonts w:hint="default" w:ascii="Times New Roman" w:hAnsi="Times New Roman" w:eastAsia="仿宋_GB2312" w:cs="Times New Roman"/>
          <w:b w:val="0"/>
          <w:bCs/>
          <w:sz w:val="32"/>
          <w:szCs w:val="32"/>
          <w:highlight w:val="none"/>
          <w:lang w:val="en-US" w:eastAsia="zh-CN"/>
        </w:rPr>
        <w:t xml:space="preserve">其中玉米7.0502万亩、棉花14.941万亩，其他作物4.841万亩（食葵、油料等）。  </w:t>
      </w:r>
    </w:p>
    <w:p w14:paraId="401C30F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sz w:val="32"/>
          <w:szCs w:val="32"/>
        </w:rPr>
        <w:t>（二）地膜</w:t>
      </w:r>
      <w:r>
        <w:rPr>
          <w:rFonts w:hint="default" w:ascii="Times New Roman" w:hAnsi="Times New Roman" w:eastAsia="楷体_GB2312" w:cs="Times New Roman"/>
          <w:b/>
          <w:bCs/>
          <w:sz w:val="32"/>
          <w:szCs w:val="32"/>
          <w:lang w:val="en-US" w:eastAsia="zh-CN"/>
        </w:rPr>
        <w:t>覆盖</w:t>
      </w:r>
      <w:r>
        <w:rPr>
          <w:rFonts w:hint="default" w:ascii="Times New Roman" w:hAnsi="Times New Roman" w:eastAsia="楷体_GB2312" w:cs="Times New Roman"/>
          <w:b/>
          <w:bCs/>
          <w:sz w:val="32"/>
          <w:szCs w:val="32"/>
        </w:rPr>
        <w:t>应用与回收利用状况</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Cs/>
          <w:sz w:val="32"/>
          <w:szCs w:val="32"/>
          <w:lang w:eastAsia="zh-CN"/>
        </w:rPr>
        <w:t>和布克赛尔</w:t>
      </w:r>
      <w:r>
        <w:rPr>
          <w:rFonts w:hint="default" w:ascii="Times New Roman" w:hAnsi="Times New Roman" w:eastAsia="仿宋_GB2312" w:cs="Times New Roman"/>
          <w:b w:val="0"/>
          <w:bCs/>
          <w:sz w:val="32"/>
          <w:szCs w:val="32"/>
          <w:highlight w:val="none"/>
          <w:lang w:val="en-US" w:eastAsia="zh-CN"/>
        </w:rPr>
        <w:t>县棉花、玉米等作物覆膜种植面积占到总播面积的81.96％，2025年度地膜回收率达85.03%。</w:t>
      </w:r>
    </w:p>
    <w:p w14:paraId="2F3B0E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二、基础条件</w:t>
      </w:r>
    </w:p>
    <w:p w14:paraId="2D5C3E4A">
      <w:pPr>
        <w:pStyle w:val="6"/>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（一）县域内地膜回收利用体系情况。</w:t>
      </w:r>
      <w:r>
        <w:rPr>
          <w:rFonts w:hint="default" w:ascii="Times New Roman" w:hAnsi="Times New Roman" w:eastAsia="仿宋_GB2312" w:cs="Times New Roman"/>
          <w:bCs/>
          <w:sz w:val="32"/>
          <w:szCs w:val="32"/>
          <w:lang w:eastAsia="zh-CN"/>
        </w:rPr>
        <w:t>和布克赛尔</w:t>
      </w:r>
      <w:r>
        <w:rPr>
          <w:rFonts w:hint="default" w:ascii="Times New Roman" w:hAnsi="Times New Roman" w:eastAsia="仿宋_GB2312" w:cs="Times New Roman"/>
          <w:color w:val="auto"/>
          <w:sz w:val="32"/>
          <w:szCs w:val="32"/>
          <w:u w:val="none"/>
          <w:lang w:val="en-US" w:eastAsia="zh-CN"/>
        </w:rPr>
        <w:t>县没有废旧地膜加工企业；没有能进行能源化利用的符合环保要求的垃圾焚烧厂、火电厂、水泥窖等企业；正规的</w:t>
      </w:r>
      <w:r>
        <w:rPr>
          <w:rFonts w:hint="default" w:ascii="Times New Roman" w:hAnsi="Times New Roman" w:eastAsia="仿宋_GB2312" w:cs="Times New Roman"/>
          <w:color w:val="auto"/>
          <w:sz w:val="32"/>
          <w:szCs w:val="32"/>
          <w:u w:val="none"/>
          <w:lang w:eastAsia="zh-CN"/>
        </w:rPr>
        <w:t>农用残膜回收机械少，农用残膜回收均是农户通过采用</w:t>
      </w:r>
      <w:r>
        <w:rPr>
          <w:rFonts w:hint="eastAsia" w:ascii="Times New Roman" w:hAnsi="Times New Roman" w:eastAsia="仿宋_GB2312" w:cs="Times New Roman"/>
          <w:color w:val="auto"/>
          <w:sz w:val="32"/>
          <w:szCs w:val="32"/>
          <w:u w:val="none"/>
          <w:lang w:eastAsia="zh-CN"/>
        </w:rPr>
        <w:t>搂膜机</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残膜回收一体机</w:t>
      </w:r>
      <w:r>
        <w:rPr>
          <w:rFonts w:hint="default" w:ascii="Times New Roman" w:hAnsi="Times New Roman" w:eastAsia="仿宋_GB2312" w:cs="Times New Roman"/>
          <w:color w:val="auto"/>
          <w:sz w:val="32"/>
          <w:szCs w:val="32"/>
          <w:u w:val="none"/>
          <w:lang w:eastAsia="zh-CN"/>
        </w:rPr>
        <w:t>、人工捡拾等方式回收田间废旧地膜。</w:t>
      </w:r>
      <w:r>
        <w:rPr>
          <w:rFonts w:hint="default" w:ascii="Times New Roman" w:hAnsi="Times New Roman" w:eastAsia="仿宋_GB2312" w:cs="Times New Roman"/>
          <w:b w:val="0"/>
          <w:bCs/>
          <w:sz w:val="32"/>
          <w:szCs w:val="32"/>
          <w:highlight w:val="none"/>
          <w:lang w:val="en-US" w:eastAsia="zh-CN"/>
        </w:rPr>
        <w:t>截至目前，全县共</w:t>
      </w:r>
      <w:r>
        <w:rPr>
          <w:rFonts w:hint="eastAsia" w:ascii="Times New Roman" w:hAnsi="Times New Roman" w:eastAsia="仿宋_GB2312" w:cs="Times New Roman"/>
          <w:b w:val="0"/>
          <w:bCs/>
          <w:sz w:val="32"/>
          <w:szCs w:val="32"/>
          <w:highlight w:val="none"/>
          <w:lang w:val="en-US" w:eastAsia="zh-CN"/>
        </w:rPr>
        <w:t>设置</w:t>
      </w:r>
      <w:r>
        <w:rPr>
          <w:rFonts w:hint="default" w:ascii="Times New Roman" w:hAnsi="Times New Roman" w:eastAsia="仿宋_GB2312" w:cs="Times New Roman"/>
          <w:b w:val="0"/>
          <w:bCs/>
          <w:sz w:val="32"/>
          <w:szCs w:val="32"/>
          <w:highlight w:val="none"/>
          <w:lang w:val="en-US" w:eastAsia="zh-CN"/>
        </w:rPr>
        <w:t>残膜回收</w:t>
      </w:r>
      <w:r>
        <w:rPr>
          <w:rFonts w:hint="eastAsia" w:ascii="Times New Roman" w:hAnsi="Times New Roman" w:eastAsia="仿宋_GB2312" w:cs="Times New Roman"/>
          <w:b w:val="0"/>
          <w:bCs/>
          <w:sz w:val="32"/>
          <w:szCs w:val="32"/>
          <w:highlight w:val="none"/>
          <w:lang w:val="en-US" w:eastAsia="zh-CN"/>
        </w:rPr>
        <w:t>临时堆放点</w:t>
      </w:r>
      <w:r>
        <w:rPr>
          <w:rFonts w:hint="default" w:ascii="Times New Roman" w:hAnsi="Times New Roman" w:eastAsia="仿宋_GB2312" w:cs="Times New Roman"/>
          <w:b w:val="0"/>
          <w:bCs/>
          <w:sz w:val="32"/>
          <w:szCs w:val="32"/>
          <w:highlight w:val="none"/>
          <w:lang w:val="en-US" w:eastAsia="zh-CN"/>
        </w:rPr>
        <w:t>4个，每年参与残膜回收工作人员300余人，2025年地膜使用量957余吨，回收量为1806余吨（折算回收净重约900吨）。</w:t>
      </w:r>
    </w:p>
    <w:p w14:paraId="363CDC90">
      <w:pPr>
        <w:pStyle w:val="6"/>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（二）地膜监测统计情况。</w:t>
      </w:r>
      <w:r>
        <w:rPr>
          <w:rFonts w:hint="eastAsia" w:ascii="Times New Roman" w:hAnsi="Times New Roman" w:eastAsia="仿宋_GB2312" w:cs="Times New Roman"/>
          <w:color w:val="auto"/>
          <w:sz w:val="32"/>
          <w:szCs w:val="32"/>
          <w:u w:val="none"/>
          <w:lang w:val="en-US" w:eastAsia="zh-CN"/>
        </w:rPr>
        <w:t>自</w:t>
      </w:r>
      <w:r>
        <w:rPr>
          <w:rFonts w:hint="default" w:ascii="Times New Roman" w:hAnsi="Times New Roman" w:eastAsia="仿宋_GB2312" w:cs="Times New Roman"/>
          <w:color w:val="auto"/>
          <w:sz w:val="32"/>
          <w:szCs w:val="32"/>
          <w:u w:val="none"/>
          <w:lang w:val="en-US" w:eastAsia="zh-CN"/>
        </w:rPr>
        <w:t>2019年</w:t>
      </w:r>
      <w:r>
        <w:rPr>
          <w:rFonts w:hint="eastAsia" w:ascii="Times New Roman" w:hAnsi="Times New Roman" w:eastAsia="仿宋_GB2312" w:cs="Times New Roman"/>
          <w:color w:val="auto"/>
          <w:sz w:val="32"/>
          <w:szCs w:val="32"/>
          <w:u w:val="none"/>
          <w:lang w:val="en-US" w:eastAsia="zh-CN"/>
        </w:rPr>
        <w:t>开始</w:t>
      </w:r>
      <w:r>
        <w:rPr>
          <w:rFonts w:hint="default" w:ascii="Times New Roman" w:hAnsi="Times New Roman" w:eastAsia="仿宋_GB2312" w:cs="Times New Roman"/>
          <w:color w:val="auto"/>
          <w:sz w:val="32"/>
          <w:szCs w:val="32"/>
          <w:u w:val="none"/>
          <w:lang w:val="en-US" w:eastAsia="zh-CN"/>
        </w:rPr>
        <w:t>，由自治区统一委托第三方监测机构中国农业科学院西部农业研究中心，对</w:t>
      </w:r>
      <w:r>
        <w:rPr>
          <w:rFonts w:hint="eastAsia" w:ascii="Times New Roman" w:hAnsi="Times New Roman" w:eastAsia="仿宋_GB2312" w:cs="Times New Roman"/>
          <w:b w:val="0"/>
          <w:bCs/>
          <w:sz w:val="32"/>
          <w:szCs w:val="32"/>
          <w:highlight w:val="none"/>
          <w:lang w:val="en-US" w:eastAsia="zh-CN"/>
        </w:rPr>
        <w:t>我</w:t>
      </w:r>
      <w:r>
        <w:rPr>
          <w:rFonts w:hint="default" w:ascii="Times New Roman" w:hAnsi="Times New Roman" w:eastAsia="仿宋_GB2312" w:cs="Times New Roman"/>
          <w:b w:val="0"/>
          <w:bCs/>
          <w:sz w:val="32"/>
          <w:szCs w:val="32"/>
          <w:highlight w:val="none"/>
          <w:lang w:val="en-US" w:eastAsia="zh-CN"/>
        </w:rPr>
        <w:t>县</w:t>
      </w:r>
      <w:r>
        <w:rPr>
          <w:rFonts w:hint="default" w:ascii="Times New Roman" w:hAnsi="Times New Roman" w:eastAsia="仿宋_GB2312" w:cs="Times New Roman"/>
          <w:color w:val="auto"/>
          <w:sz w:val="32"/>
          <w:szCs w:val="32"/>
          <w:u w:val="none"/>
          <w:lang w:val="en-US" w:eastAsia="zh-CN"/>
        </w:rPr>
        <w:t>开展10个残膜监测点监测情况来看，2025年</w:t>
      </w:r>
      <w:r>
        <w:rPr>
          <w:rFonts w:hint="default" w:ascii="Times New Roman" w:hAnsi="Times New Roman" w:eastAsia="仿宋_GB2312" w:cs="Times New Roman"/>
          <w:b w:val="0"/>
          <w:bCs/>
          <w:sz w:val="32"/>
          <w:szCs w:val="32"/>
          <w:highlight w:val="none"/>
          <w:lang w:val="en-US" w:eastAsia="zh-CN"/>
        </w:rPr>
        <w:t>和布克赛尔县</w:t>
      </w:r>
      <w:r>
        <w:rPr>
          <w:rFonts w:hint="default" w:ascii="Times New Roman" w:hAnsi="Times New Roman" w:eastAsia="仿宋_GB2312" w:cs="Times New Roman"/>
          <w:color w:val="auto"/>
          <w:sz w:val="32"/>
          <w:szCs w:val="32"/>
          <w:u w:val="none"/>
          <w:lang w:val="en-US" w:eastAsia="zh-CN"/>
        </w:rPr>
        <w:t>地膜平均残留量为4.18公斤/亩，其中：向日葵覆膜地块平均残留量4.22公斤/亩，玉米覆膜地块地膜平均残留量4.28公斤/亩，棉花覆膜地块地膜平均残留量4.17公斤/亩。</w:t>
      </w:r>
    </w:p>
    <w:p w14:paraId="4C6E864C">
      <w:pPr>
        <w:pStyle w:val="5"/>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3" w:firstLineChars="200"/>
        <w:jc w:val="both"/>
        <w:textAlignment w:val="auto"/>
        <w:outlineLvl w:val="1"/>
        <w:rPr>
          <w:rFonts w:hint="default" w:ascii="Times New Roman" w:hAnsi="Times New Roman" w:eastAsia="仿宋_GB2312" w:cs="Times New Roman"/>
          <w:b w:val="0"/>
          <w:bCs/>
          <w:sz w:val="32"/>
          <w:szCs w:val="32"/>
          <w:highlight w:val="none"/>
          <w:lang w:val="en-US" w:eastAsia="zh-CN"/>
        </w:rPr>
      </w:pPr>
      <w:bookmarkStart w:id="0" w:name="_Toc24689"/>
      <w:r>
        <w:rPr>
          <w:rFonts w:hint="default" w:ascii="Times New Roman" w:hAnsi="Times New Roman" w:eastAsia="楷体_GB2312" w:cs="Times New Roman"/>
          <w:b/>
          <w:bCs/>
          <w:sz w:val="32"/>
          <w:szCs w:val="32"/>
          <w:highlight w:val="none"/>
          <w:lang w:val="en-US" w:eastAsia="zh-CN"/>
        </w:rPr>
        <w:t>（三）</w:t>
      </w:r>
      <w:r>
        <w:rPr>
          <w:rFonts w:hint="default" w:ascii="Times New Roman" w:hAnsi="Times New Roman" w:eastAsia="楷体_GB2312" w:cs="Times New Roman"/>
          <w:b/>
          <w:bCs/>
          <w:kern w:val="2"/>
          <w:sz w:val="32"/>
          <w:szCs w:val="32"/>
          <w:highlight w:val="none"/>
          <w:lang w:val="en-US" w:eastAsia="zh-CN" w:bidi="ar-SA"/>
        </w:rPr>
        <w:t>地膜生产和再利用情况。</w:t>
      </w:r>
      <w:r>
        <w:rPr>
          <w:rFonts w:hint="default" w:ascii="Times New Roman" w:hAnsi="Times New Roman" w:eastAsia="仿宋_GB2312" w:cs="Times New Roman"/>
          <w:color w:val="auto"/>
          <w:kern w:val="2"/>
          <w:sz w:val="32"/>
          <w:szCs w:val="32"/>
          <w:u w:val="none"/>
          <w:lang w:val="en-US" w:eastAsia="zh-CN" w:bidi="ar-SA"/>
        </w:rPr>
        <w:t>目前，</w:t>
      </w:r>
      <w:r>
        <w:rPr>
          <w:rFonts w:hint="default" w:ascii="Times New Roman" w:hAnsi="Times New Roman" w:eastAsia="仿宋_GB2312" w:cs="Times New Roman"/>
          <w:b w:val="0"/>
          <w:bCs/>
          <w:sz w:val="32"/>
          <w:szCs w:val="32"/>
          <w:highlight w:val="none"/>
          <w:lang w:val="en-US" w:eastAsia="zh-CN"/>
        </w:rPr>
        <w:t>和布克赛尔</w:t>
      </w:r>
      <w:r>
        <w:rPr>
          <w:rFonts w:hint="default" w:ascii="Times New Roman" w:hAnsi="Times New Roman" w:eastAsia="仿宋_GB2312" w:cs="Times New Roman"/>
          <w:color w:val="auto"/>
          <w:kern w:val="2"/>
          <w:sz w:val="32"/>
          <w:szCs w:val="32"/>
          <w:u w:val="none"/>
          <w:lang w:val="en-US" w:eastAsia="zh-CN" w:bidi="ar-SA"/>
        </w:rPr>
        <w:t>县没有地膜</w:t>
      </w:r>
      <w:r>
        <w:rPr>
          <w:rFonts w:hint="default" w:ascii="Times New Roman" w:hAnsi="Times New Roman" w:eastAsia="仿宋_GB2312" w:cs="Times New Roman"/>
          <w:color w:val="auto"/>
          <w:sz w:val="32"/>
          <w:szCs w:val="32"/>
          <w:u w:val="none"/>
          <w:lang w:val="en-US" w:eastAsia="zh-CN"/>
        </w:rPr>
        <w:t>生产企业，没有地膜销售网点，历年来农户使用地膜均采购于昌吉州、</w:t>
      </w:r>
      <w:r>
        <w:rPr>
          <w:rFonts w:hint="eastAsia" w:ascii="Times New Roman" w:hAnsi="Times New Roman" w:eastAsia="仿宋_GB2312" w:cs="Times New Roman"/>
          <w:color w:val="auto"/>
          <w:sz w:val="32"/>
          <w:szCs w:val="32"/>
          <w:u w:val="none"/>
          <w:lang w:val="en-US" w:eastAsia="zh-CN"/>
        </w:rPr>
        <w:t>北屯</w:t>
      </w:r>
      <w:r>
        <w:rPr>
          <w:rFonts w:hint="default" w:ascii="Times New Roman" w:hAnsi="Times New Roman" w:eastAsia="仿宋_GB2312" w:cs="Times New Roman"/>
          <w:color w:val="auto"/>
          <w:sz w:val="32"/>
          <w:szCs w:val="32"/>
          <w:u w:val="none"/>
          <w:lang w:val="en-US" w:eastAsia="zh-CN"/>
        </w:rPr>
        <w:t>市、兵团184等周边县市。</w:t>
      </w:r>
      <w:bookmarkEnd w:id="0"/>
    </w:p>
    <w:p w14:paraId="3AD29C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cs="Times New Roman"/>
          <w:sz w:val="32"/>
          <w:szCs w:val="32"/>
          <w:lang w:eastAsia="zh-CN"/>
        </w:rPr>
      </w:pPr>
      <w:r>
        <w:rPr>
          <w:rFonts w:hint="default" w:ascii="Times New Roman" w:hAnsi="Times New Roman" w:eastAsia="黑体" w:cs="Times New Roman"/>
          <w:sz w:val="32"/>
          <w:szCs w:val="32"/>
          <w:lang w:val="en-US" w:eastAsia="zh-CN"/>
        </w:rPr>
        <w:t>三、实施必要性</w:t>
      </w:r>
    </w:p>
    <w:p w14:paraId="5EFEB35E">
      <w:pPr>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一方面</w:t>
      </w:r>
      <w:r>
        <w:rPr>
          <w:rFonts w:hint="default" w:ascii="Times New Roman" w:hAnsi="Times New Roman" w:eastAsia="仿宋_GB2312" w:cs="Times New Roman"/>
          <w:bCs/>
          <w:sz w:val="32"/>
          <w:szCs w:val="32"/>
        </w:rPr>
        <w:t>我县农户普遍覆盖0.01毫米标准地膜，</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长期种植棉花、食葵等经济作物，地块地膜使用年限在20年以上，由于新材料地膜和地膜回收技术跟不上，</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残</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膜长期残留在农田土壤中，造成“白色污染”现象严重</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另一方面由于我县天气影响每年秋季回收时间紧</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任务重</w:t>
      </w:r>
      <w:r>
        <w:rPr>
          <w:rFonts w:hint="eastAsia" w:ascii="Times New Roman" w:hAnsi="Times New Roman" w:eastAsia="仿宋_GB2312" w:cs="Times New Roman"/>
          <w:bCs/>
          <w:sz w:val="32"/>
          <w:szCs w:val="32"/>
          <w:lang w:val="en-US" w:eastAsia="zh-CN"/>
        </w:rPr>
        <w:t>，严重影响我县残膜回收进度</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通过调查，废旧地膜主要残留于30cm左右的耕层土壤，0-20cm土层占总残留量的80%，严重影响播种质量和出苗率。此外，田间地头散落堆放的残膜严重影响村容村貌，污染农村环境。</w:t>
      </w:r>
      <w:r>
        <w:rPr>
          <w:rFonts w:hint="default" w:ascii="Times New Roman" w:hAnsi="Times New Roman" w:eastAsia="仿宋_GB2312" w:cs="Times New Roman"/>
          <w:bCs/>
          <w:sz w:val="32"/>
          <w:szCs w:val="32"/>
        </w:rPr>
        <w:t>所以推广</w:t>
      </w:r>
      <w:r>
        <w:rPr>
          <w:rFonts w:hint="default" w:ascii="Times New Roman" w:hAnsi="Times New Roman" w:eastAsia="仿宋_GB2312" w:cs="Times New Roman"/>
          <w:bCs/>
          <w:sz w:val="32"/>
          <w:szCs w:val="32"/>
          <w:lang w:val="en-US" w:eastAsia="zh-CN"/>
        </w:rPr>
        <w:t>全生物降解地膜</w:t>
      </w:r>
      <w:r>
        <w:rPr>
          <w:rFonts w:hint="default" w:ascii="Times New Roman" w:hAnsi="Times New Roman" w:eastAsia="仿宋_GB2312" w:cs="Times New Roman"/>
          <w:bCs/>
          <w:sz w:val="32"/>
          <w:szCs w:val="32"/>
        </w:rPr>
        <w:t>是形势发展的需要。</w:t>
      </w:r>
      <w:r>
        <w:rPr>
          <w:rFonts w:hint="default" w:ascii="Times New Roman" w:hAnsi="Times New Roman" w:eastAsia="仿宋_GB2312" w:cs="Times New Roman"/>
          <w:bCs/>
          <w:sz w:val="32"/>
          <w:szCs w:val="32"/>
          <w:lang w:val="en-US" w:eastAsia="zh-CN"/>
        </w:rPr>
        <w:t>截至目前，我县暂无</w:t>
      </w:r>
      <w:r>
        <w:rPr>
          <w:rFonts w:hint="default" w:ascii="Times New Roman" w:hAnsi="Times New Roman" w:eastAsia="仿宋_GB2312" w:cs="Times New Roman"/>
          <w:bCs/>
          <w:sz w:val="32"/>
          <w:szCs w:val="32"/>
          <w:lang w:eastAsia="zh-CN"/>
        </w:rPr>
        <w:t>专业残膜回收循环回收利用企业，</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暂未形成有效的废旧地膜回收利用体系，这些都是当前亟需解决的棘手问题。</w:t>
      </w:r>
      <w:r>
        <w:rPr>
          <w:rFonts w:hint="default" w:ascii="Times New Roman" w:hAnsi="Times New Roman" w:eastAsia="仿宋_GB2312" w:cs="Times New Roman"/>
          <w:bCs/>
          <w:sz w:val="32"/>
          <w:szCs w:val="32"/>
          <w:lang w:val="en-US" w:eastAsia="zh-CN"/>
        </w:rPr>
        <w:t>通过项目实施，进一步探索有效的残膜回收工作方案，继续改进完善残膜回收机适应性，提高回收质量，降低含杂率，实现残膜回收与资源化再利用有效衔接。</w:t>
      </w:r>
    </w:p>
    <w:p w14:paraId="5F969F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四、目标和重点任务</w:t>
      </w:r>
    </w:p>
    <w:p w14:paraId="591B5B40">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3" w:firstLineChars="200"/>
        <w:jc w:val="left"/>
        <w:textAlignment w:val="auto"/>
        <w:rPr>
          <w:rFonts w:hint="default" w:ascii="Times New Roman" w:hAnsi="Times New Roman" w:eastAsia="楷体_GB2312" w:cs="Times New Roman"/>
          <w:b/>
          <w:i w:val="0"/>
          <w:caps w:val="0"/>
          <w:color w:val="000000"/>
          <w:spacing w:val="0"/>
          <w:kern w:val="0"/>
          <w:sz w:val="32"/>
          <w:szCs w:val="32"/>
          <w:u w:val="none"/>
          <w:lang w:val="en-US" w:eastAsia="zh-CN"/>
        </w:rPr>
      </w:pPr>
      <w:r>
        <w:rPr>
          <w:rFonts w:hint="default" w:ascii="Times New Roman" w:hAnsi="Times New Roman" w:eastAsia="楷体_GB2312" w:cs="Times New Roman"/>
          <w:b/>
          <w:i w:val="0"/>
          <w:caps w:val="0"/>
          <w:color w:val="000000"/>
          <w:spacing w:val="0"/>
          <w:kern w:val="0"/>
          <w:sz w:val="32"/>
          <w:szCs w:val="32"/>
          <w:u w:val="none"/>
          <w:lang w:val="en-US" w:eastAsia="zh-CN"/>
        </w:rPr>
        <w:t>任务目标</w:t>
      </w:r>
    </w:p>
    <w:p w14:paraId="1E5AED3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color w:val="auto"/>
          <w:sz w:val="32"/>
          <w:szCs w:val="32"/>
        </w:rPr>
        <w:t>落实国家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自治区和</w:t>
      </w:r>
      <w:r>
        <w:rPr>
          <w:rFonts w:hint="default" w:ascii="Times New Roman" w:hAnsi="Times New Roman" w:eastAsia="仿宋_GB2312" w:cs="Times New Roman"/>
          <w:color w:val="auto"/>
          <w:sz w:val="32"/>
          <w:szCs w:val="32"/>
          <w:lang w:val="en-US" w:eastAsia="zh-CN"/>
        </w:rPr>
        <w:t>地区</w:t>
      </w:r>
      <w:r>
        <w:rPr>
          <w:rFonts w:hint="default" w:ascii="Times New Roman" w:hAnsi="Times New Roman" w:eastAsia="仿宋_GB2312" w:cs="Times New Roman"/>
          <w:color w:val="auto"/>
          <w:sz w:val="32"/>
          <w:szCs w:val="32"/>
        </w:rPr>
        <w:t>相关补贴</w:t>
      </w:r>
      <w:r>
        <w:rPr>
          <w:rFonts w:hint="default" w:ascii="Times New Roman" w:hAnsi="Times New Roman" w:eastAsia="仿宋_GB2312" w:cs="Times New Roman"/>
          <w:color w:val="auto"/>
          <w:sz w:val="32"/>
          <w:szCs w:val="32"/>
          <w:lang w:eastAsia="zh-CN"/>
        </w:rPr>
        <w:t>激励</w:t>
      </w:r>
      <w:r>
        <w:rPr>
          <w:rFonts w:hint="default" w:ascii="Times New Roman" w:hAnsi="Times New Roman" w:eastAsia="仿宋_GB2312" w:cs="Times New Roman"/>
          <w:color w:val="auto"/>
          <w:sz w:val="32"/>
          <w:szCs w:val="32"/>
        </w:rPr>
        <w:t>政策，</w:t>
      </w:r>
      <w:r>
        <w:rPr>
          <w:rFonts w:hint="default" w:ascii="Times New Roman" w:hAnsi="Times New Roman" w:eastAsia="仿宋_GB2312" w:cs="Times New Roman"/>
          <w:color w:val="auto"/>
          <w:sz w:val="32"/>
          <w:szCs w:val="32"/>
          <w:lang w:eastAsia="zh-CN"/>
        </w:rPr>
        <w:t>按照每年上级下达的项目推广任务和资金，</w:t>
      </w:r>
      <w:r>
        <w:rPr>
          <w:rFonts w:hint="default" w:ascii="Times New Roman" w:hAnsi="Times New Roman" w:eastAsia="仿宋_GB2312" w:cs="Times New Roman"/>
          <w:color w:val="auto"/>
          <w:sz w:val="32"/>
          <w:szCs w:val="32"/>
        </w:rPr>
        <w:t>本着农民（或生产主体）自愿、残膜依法回收、环境改善的良性循环发展原则，</w:t>
      </w:r>
      <w:r>
        <w:rPr>
          <w:rFonts w:hint="default" w:ascii="Times New Roman" w:hAnsi="Times New Roman" w:eastAsia="仿宋_GB2312" w:cs="Times New Roman"/>
          <w:color w:val="auto"/>
          <w:sz w:val="32"/>
          <w:szCs w:val="32"/>
          <w:lang w:eastAsia="zh-CN"/>
        </w:rPr>
        <w:t>通过</w:t>
      </w:r>
      <w:r>
        <w:rPr>
          <w:rFonts w:hint="default" w:ascii="Times New Roman" w:hAnsi="Times New Roman" w:eastAsia="仿宋_GB2312" w:cs="Times New Roman"/>
          <w:color w:val="auto"/>
          <w:sz w:val="32"/>
          <w:szCs w:val="32"/>
        </w:rPr>
        <w:t>直接补助、间接补助等适应本区域特点的多种补助方式</w:t>
      </w:r>
      <w:r>
        <w:rPr>
          <w:rFonts w:hint="default" w:ascii="Times New Roman" w:hAnsi="Times New Roman" w:eastAsia="仿宋_GB2312" w:cs="Times New Roman"/>
          <w:color w:val="auto"/>
          <w:sz w:val="32"/>
          <w:szCs w:val="32"/>
          <w:lang w:eastAsia="zh-CN"/>
        </w:rPr>
        <w:t>，对使用加厚高强度地膜的</w:t>
      </w:r>
      <w:r>
        <w:rPr>
          <w:rFonts w:hint="default" w:ascii="Times New Roman" w:hAnsi="Times New Roman" w:eastAsia="仿宋_GB2312" w:cs="Times New Roman"/>
          <w:color w:val="auto"/>
          <w:sz w:val="32"/>
          <w:szCs w:val="32"/>
        </w:rPr>
        <w:t>农户、合作社给予适当补贴，</w:t>
      </w:r>
      <w:r>
        <w:rPr>
          <w:rFonts w:hint="default" w:ascii="Times New Roman" w:hAnsi="Times New Roman" w:eastAsia="仿宋_GB2312" w:cs="Times New Roman"/>
          <w:bCs/>
          <w:sz w:val="32"/>
          <w:szCs w:val="32"/>
          <w:lang w:eastAsia="zh-CN"/>
        </w:rPr>
        <w:t>做好我县202</w:t>
      </w: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lang w:eastAsia="zh-CN"/>
        </w:rPr>
        <w:t>年</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8</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2442.89</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亩</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（任务分配如附件二）</w:t>
      </w:r>
      <w:r>
        <w:rPr>
          <w:rFonts w:hint="default" w:ascii="Times New Roman" w:hAnsi="Times New Roman" w:eastAsia="仿宋_GB2312" w:cs="Times New Roman"/>
          <w:bCs/>
          <w:sz w:val="32"/>
          <w:szCs w:val="32"/>
          <w:lang w:eastAsia="zh-CN"/>
        </w:rPr>
        <w:t>推广应用加厚高强度地膜工作，建立健全科学高效回收利用体系，积极引进专业残膜回收循环回收利用企业，不断健全废旧地膜回收网络体系。</w:t>
      </w:r>
    </w:p>
    <w:p w14:paraId="31E1308C">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3" w:firstLineChars="200"/>
        <w:jc w:val="left"/>
        <w:textAlignment w:val="auto"/>
        <w:rPr>
          <w:rFonts w:hint="default" w:ascii="Times New Roman" w:hAnsi="Times New Roman" w:eastAsia="楷体_GB2312" w:cs="Times New Roman"/>
          <w:b/>
          <w:i w:val="0"/>
          <w:caps w:val="0"/>
          <w:color w:val="000000"/>
          <w:spacing w:val="0"/>
          <w:kern w:val="0"/>
          <w:sz w:val="32"/>
          <w:szCs w:val="32"/>
          <w:u w:val="none"/>
          <w:lang w:val="en-US" w:eastAsia="zh-CN"/>
        </w:rPr>
      </w:pPr>
      <w:r>
        <w:rPr>
          <w:rFonts w:hint="default" w:ascii="Times New Roman" w:hAnsi="Times New Roman" w:eastAsia="楷体_GB2312" w:cs="Times New Roman"/>
          <w:b/>
          <w:i w:val="0"/>
          <w:caps w:val="0"/>
          <w:color w:val="000000"/>
          <w:spacing w:val="0"/>
          <w:kern w:val="0"/>
          <w:sz w:val="32"/>
          <w:szCs w:val="32"/>
          <w:u w:val="none"/>
          <w:lang w:val="en-US" w:eastAsia="zh-CN"/>
        </w:rPr>
        <w:t>重点任务</w:t>
      </w:r>
    </w:p>
    <w:p w14:paraId="54735F49">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适用范围。</w:t>
      </w:r>
      <w:r>
        <w:rPr>
          <w:rFonts w:hint="default" w:ascii="Times New Roman" w:hAnsi="Times New Roman" w:eastAsia="仿宋_GB2312" w:cs="Times New Roman"/>
          <w:bCs/>
          <w:sz w:val="32"/>
          <w:szCs w:val="32"/>
          <w:highlight w:val="none"/>
          <w:lang w:val="en-US" w:eastAsia="zh-CN"/>
        </w:rPr>
        <w:t>在棉花，瓜菜等主要覆膜作物，推广使用0.015毫米加厚高强度地膜。</w:t>
      </w:r>
      <w:r>
        <w:rPr>
          <w:rFonts w:hint="default" w:ascii="Times New Roman" w:hAnsi="Times New Roman" w:eastAsia="仿宋_GB2312" w:cs="Times New Roman"/>
          <w:bCs/>
          <w:sz w:val="32"/>
          <w:szCs w:val="32"/>
          <w:lang w:val="en-US" w:eastAsia="zh-CN"/>
        </w:rPr>
        <w:t>加厚高强度地膜覆盖使用时间和力学性能指标应不低于《聚乙烯吹塑农用地面覆盖薄膜》(GB13735-2017)中I类耐老化地膜有关要求，且产品原材料中不得加入再生料及国家明确禁止使用，不利于作物生长或污染土壤的有害助剂，总灰分控制在0.5%以内。</w:t>
      </w:r>
    </w:p>
    <w:p w14:paraId="12280F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经自治区农业农村厅组织相关专家论证和性能检测，棉花可推广使用0.012毫米及以上厚度的地膜，</w:t>
      </w:r>
      <w:r>
        <w:rPr>
          <w:rFonts w:hint="eastAsia" w:ascii="Times New Roman" w:hAnsi="Times New Roman" w:eastAsia="仿宋_GB2312" w:cs="Times New Roman"/>
          <w:bCs/>
          <w:sz w:val="32"/>
          <w:szCs w:val="32"/>
          <w:highlight w:val="none"/>
          <w:lang w:val="en-US" w:eastAsia="zh-CN"/>
        </w:rPr>
        <w:t>经</w:t>
      </w:r>
      <w:r>
        <w:rPr>
          <w:rFonts w:hint="eastAsia" w:ascii="Times New Roman" w:hAnsi="Times New Roman" w:eastAsia="仿宋_GB2312" w:cs="Times New Roman"/>
          <w:bCs/>
          <w:sz w:val="32"/>
          <w:szCs w:val="32"/>
          <w:lang w:val="en-US" w:eastAsia="zh-CN"/>
        </w:rPr>
        <w:t>过充分论证</w:t>
      </w:r>
      <w:r>
        <w:rPr>
          <w:rFonts w:hint="default" w:ascii="Times New Roman" w:hAnsi="Times New Roman" w:eastAsia="仿宋_GB2312" w:cs="Times New Roman"/>
          <w:bCs/>
          <w:sz w:val="32"/>
          <w:szCs w:val="32"/>
          <w:lang w:val="en-US" w:eastAsia="zh-CN"/>
        </w:rPr>
        <w:t>力学性能指标：纵、横向拉伸负荷≥3.2N，纵</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横向断裂标称应变≥500%，纵</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横向直角撕裂负荷≥1.5N；紫外灯人工模拟气候老化实验312小时后的力学性能指标：纵</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横向拉伸负荷≥2.0N，纵</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横向断裂标称应变≥250%；农田覆盖使用180天后力学性能指标：纵</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横向拉伸负荷≥1.6N，纵</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横向断裂标称应变≥250%；地膜产品中灰分（质量份数）含量≥0.5%，保障地膜使用后能够有效回收。</w:t>
      </w:r>
    </w:p>
    <w:p w14:paraId="05F64B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我县参照自治区论证会方式</w:t>
      </w:r>
      <w:r>
        <w:rPr>
          <w:rFonts w:hint="eastAsia" w:ascii="Times New Roman" w:hAnsi="Times New Roman" w:eastAsia="仿宋_GB2312" w:cs="Times New Roman"/>
          <w:bCs/>
          <w:sz w:val="32"/>
          <w:szCs w:val="32"/>
          <w:highlight w:val="none"/>
          <w:lang w:val="en-US" w:eastAsia="zh-CN"/>
        </w:rPr>
        <w:t>，组织农机、农技、检测等相关单位和人员，对于确定不适宜推广0.015毫米的作物（食葵、玉米、辣椒等），可使用0.012毫米及以上厚度的地膜。</w:t>
      </w:r>
    </w:p>
    <w:p w14:paraId="4E41CFF9">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pPr>
      <w:r>
        <w:rPr>
          <w:rFonts w:hint="default" w:ascii="Times New Roman" w:hAnsi="Times New Roman" w:eastAsia="仿宋_GB2312" w:cs="Times New Roman"/>
          <w:bCs/>
          <w:sz w:val="32"/>
          <w:szCs w:val="32"/>
          <w:lang w:val="en-US" w:eastAsia="zh-CN"/>
        </w:rPr>
        <w:t>补贴方式。</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补贴形式以直接补助为主、间接补助为辅，按照自主申报，村队核实、乡镇100%复核，核对购买数量、使用面积后；农业农村局联合财政局抽查30%，审核确认后，申请财政部门支付补助资金。</w:t>
      </w:r>
    </w:p>
    <w:p w14:paraId="602749CA">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pPr>
      <w:r>
        <w:rPr>
          <w:rFonts w:hint="default" w:ascii="Times New Roman" w:hAnsi="Times New Roman" w:eastAsia="仿宋_GB2312" w:cs="Times New Roman"/>
          <w:bCs/>
          <w:color w:val="auto"/>
          <w:kern w:val="2"/>
          <w:sz w:val="32"/>
          <w:szCs w:val="32"/>
          <w:lang w:val="en-US" w:eastAsia="zh-CN" w:bidi="ar-SA"/>
        </w:rPr>
        <w:t>补</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贴标准。项目补助资金</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262.715436</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万元，亩均补助24元，补助面积8</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2442.89</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亩。</w:t>
      </w:r>
    </w:p>
    <w:p w14:paraId="6AE14FEE">
      <w:pPr>
        <w:pStyle w:val="2"/>
        <w:keepNext/>
        <w:keepLines/>
        <w:pageBreakBefore w:val="0"/>
        <w:widowControl w:val="0"/>
        <w:numPr>
          <w:ilvl w:val="0"/>
          <w:numId w:val="0"/>
        </w:numPr>
        <w:kinsoku/>
        <w:wordWrap/>
        <w:overflowPunct/>
        <w:topLinePunct w:val="0"/>
        <w:autoSpaceDE/>
        <w:autoSpaceDN/>
        <w:bidi w:val="0"/>
        <w:adjustRightInd/>
        <w:snapToGrid/>
        <w:spacing w:line="520" w:lineRule="exact"/>
        <w:ind w:leftChars="200" w:firstLine="320" w:firstLineChars="100"/>
        <w:textAlignment w:val="auto"/>
        <w:rPr>
          <w:rFonts w:hint="default" w:ascii="Times New Roman" w:hAnsi="Times New Roman" w:cs="Times New Roman"/>
          <w:sz w:val="18"/>
          <w:szCs w:val="21"/>
          <w:lang w:val="en-US" w:eastAsia="zh-CN"/>
        </w:rPr>
      </w:pPr>
      <w:r>
        <w:rPr>
          <w:rFonts w:hint="default" w:ascii="Times New Roman" w:hAnsi="Times New Roman" w:eastAsia="仿宋_GB2312" w:cs="Times New Roman"/>
          <w:bCs/>
          <w:color w:val="auto"/>
          <w:kern w:val="2"/>
          <w:sz w:val="32"/>
          <w:szCs w:val="32"/>
          <w:lang w:val="en-US" w:eastAsia="zh-CN" w:bidi="ar-SA"/>
        </w:rPr>
        <w:t>表：加厚高强度地膜使用项目资金分配及概算表</w:t>
      </w:r>
    </w:p>
    <w:tbl>
      <w:tblPr>
        <w:tblStyle w:val="10"/>
        <w:tblpPr w:leftFromText="180" w:rightFromText="180" w:vertAnchor="page" w:horzAnchor="page" w:tblpX="1708" w:tblpY="9044"/>
        <w:tblOverlap w:val="never"/>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10"/>
        <w:gridCol w:w="2100"/>
        <w:gridCol w:w="929"/>
        <w:gridCol w:w="1141"/>
        <w:gridCol w:w="1250"/>
        <w:gridCol w:w="1500"/>
      </w:tblGrid>
      <w:tr w14:paraId="15FD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75" w:type="dxa"/>
            <w:noWrap w:val="0"/>
            <w:vAlign w:val="top"/>
          </w:tcPr>
          <w:p w14:paraId="171388E4">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序号</w:t>
            </w:r>
          </w:p>
        </w:tc>
        <w:tc>
          <w:tcPr>
            <w:tcW w:w="1610" w:type="dxa"/>
            <w:noWrap w:val="0"/>
            <w:vAlign w:val="top"/>
          </w:tcPr>
          <w:p w14:paraId="7C4AFA03">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任务</w:t>
            </w:r>
          </w:p>
        </w:tc>
        <w:tc>
          <w:tcPr>
            <w:tcW w:w="2100" w:type="dxa"/>
            <w:noWrap w:val="0"/>
            <w:vAlign w:val="top"/>
          </w:tcPr>
          <w:p w14:paraId="7D0C5E66">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内容</w:t>
            </w:r>
          </w:p>
        </w:tc>
        <w:tc>
          <w:tcPr>
            <w:tcW w:w="929" w:type="dxa"/>
            <w:noWrap w:val="0"/>
            <w:vAlign w:val="top"/>
          </w:tcPr>
          <w:p w14:paraId="668746A7">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数量</w:t>
            </w:r>
          </w:p>
        </w:tc>
        <w:tc>
          <w:tcPr>
            <w:tcW w:w="1141" w:type="dxa"/>
            <w:noWrap w:val="0"/>
            <w:vAlign w:val="top"/>
          </w:tcPr>
          <w:p w14:paraId="70D65E28">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补贴标准</w:t>
            </w:r>
          </w:p>
        </w:tc>
        <w:tc>
          <w:tcPr>
            <w:tcW w:w="1250" w:type="dxa"/>
            <w:noWrap w:val="0"/>
            <w:vAlign w:val="top"/>
          </w:tcPr>
          <w:p w14:paraId="45F34574">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拟实施单位</w:t>
            </w:r>
          </w:p>
        </w:tc>
        <w:tc>
          <w:tcPr>
            <w:tcW w:w="1500" w:type="dxa"/>
            <w:noWrap w:val="0"/>
            <w:vAlign w:val="top"/>
          </w:tcPr>
          <w:p w14:paraId="0EC81E17">
            <w:pPr>
              <w:pStyle w:val="6"/>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中央补助资金小计</w:t>
            </w:r>
          </w:p>
          <w:p w14:paraId="5751224B">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（万元）</w:t>
            </w:r>
          </w:p>
        </w:tc>
      </w:tr>
      <w:tr w14:paraId="42C4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noWrap w:val="0"/>
            <w:vAlign w:val="top"/>
          </w:tcPr>
          <w:p w14:paraId="3EC04CEF">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1</w:t>
            </w:r>
          </w:p>
        </w:tc>
        <w:tc>
          <w:tcPr>
            <w:tcW w:w="1610" w:type="dxa"/>
            <w:noWrap w:val="0"/>
            <w:vAlign w:val="top"/>
          </w:tcPr>
          <w:p w14:paraId="6C36ED61">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lang w:val="en-US" w:eastAsia="zh-CN"/>
              </w:rPr>
              <w:t>推广应用加厚高强度地膜</w:t>
            </w:r>
          </w:p>
        </w:tc>
        <w:tc>
          <w:tcPr>
            <w:tcW w:w="2100" w:type="dxa"/>
            <w:noWrap w:val="0"/>
            <w:vAlign w:val="top"/>
          </w:tcPr>
          <w:p w14:paraId="18488F03">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sz w:val="21"/>
                <w:szCs w:val="21"/>
                <w:highlight w:val="none"/>
                <w:vertAlign w:val="baseline"/>
                <w:lang w:val="en-US" w:eastAsia="zh-CN"/>
              </w:rPr>
              <w:t>示范区全面推广加厚高强度地膜补贴机制</w:t>
            </w:r>
          </w:p>
        </w:tc>
        <w:tc>
          <w:tcPr>
            <w:tcW w:w="929" w:type="dxa"/>
            <w:noWrap w:val="0"/>
            <w:vAlign w:val="top"/>
          </w:tcPr>
          <w:p w14:paraId="6D321440">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824</w:t>
            </w:r>
            <w:r>
              <w:rPr>
                <w:rFonts w:hint="eastAsia" w:ascii="Times New Roman" w:hAnsi="Times New Roman" w:eastAsia="仿宋_GB2312" w:cs="Times New Roman"/>
                <w:b w:val="0"/>
                <w:bCs/>
                <w:sz w:val="21"/>
                <w:szCs w:val="21"/>
                <w:highlight w:val="none"/>
                <w:vertAlign w:val="baseline"/>
                <w:lang w:val="en-US" w:eastAsia="zh-CN"/>
              </w:rPr>
              <w:t>42.89</w:t>
            </w:r>
            <w:r>
              <w:rPr>
                <w:rFonts w:hint="default" w:ascii="Times New Roman" w:hAnsi="Times New Roman" w:eastAsia="仿宋_GB2312" w:cs="Times New Roman"/>
                <w:b w:val="0"/>
                <w:bCs/>
                <w:sz w:val="21"/>
                <w:szCs w:val="21"/>
                <w:highlight w:val="none"/>
                <w:vertAlign w:val="baseline"/>
                <w:lang w:val="en-US" w:eastAsia="zh-CN"/>
              </w:rPr>
              <w:t>亩</w:t>
            </w:r>
          </w:p>
        </w:tc>
        <w:tc>
          <w:tcPr>
            <w:tcW w:w="1141" w:type="dxa"/>
            <w:noWrap w:val="0"/>
            <w:vAlign w:val="top"/>
          </w:tcPr>
          <w:p w14:paraId="58B016F7">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24元/亩</w:t>
            </w:r>
          </w:p>
        </w:tc>
        <w:tc>
          <w:tcPr>
            <w:tcW w:w="1250" w:type="dxa"/>
            <w:noWrap w:val="0"/>
            <w:vAlign w:val="top"/>
          </w:tcPr>
          <w:p w14:paraId="63DD77A6">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农户、合作社等</w:t>
            </w:r>
          </w:p>
        </w:tc>
        <w:tc>
          <w:tcPr>
            <w:tcW w:w="1500" w:type="dxa"/>
            <w:noWrap w:val="0"/>
            <w:vAlign w:val="top"/>
          </w:tcPr>
          <w:p w14:paraId="6498ED53">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197.</w:t>
            </w:r>
            <w:r>
              <w:rPr>
                <w:rFonts w:hint="eastAsia" w:ascii="Times New Roman" w:hAnsi="Times New Roman" w:eastAsia="仿宋_GB2312" w:cs="Times New Roman"/>
                <w:b w:val="0"/>
                <w:bCs/>
                <w:sz w:val="21"/>
                <w:szCs w:val="21"/>
                <w:highlight w:val="none"/>
                <w:vertAlign w:val="baseline"/>
                <w:lang w:val="en-US" w:eastAsia="zh-CN"/>
              </w:rPr>
              <w:t>8</w:t>
            </w:r>
            <w:r>
              <w:rPr>
                <w:rFonts w:hint="default" w:ascii="Times New Roman" w:hAnsi="Times New Roman" w:eastAsia="仿宋_GB2312" w:cs="Times New Roman"/>
                <w:b w:val="0"/>
                <w:bCs/>
                <w:sz w:val="21"/>
                <w:szCs w:val="21"/>
                <w:highlight w:val="none"/>
                <w:vertAlign w:val="baseline"/>
                <w:lang w:val="en-US" w:eastAsia="zh-CN"/>
              </w:rPr>
              <w:t>6</w:t>
            </w:r>
            <w:r>
              <w:rPr>
                <w:rFonts w:hint="eastAsia" w:ascii="Times New Roman" w:hAnsi="Times New Roman" w:eastAsia="仿宋_GB2312" w:cs="Times New Roman"/>
                <w:b w:val="0"/>
                <w:bCs/>
                <w:sz w:val="21"/>
                <w:szCs w:val="21"/>
                <w:highlight w:val="none"/>
                <w:vertAlign w:val="baseline"/>
                <w:lang w:val="en-US" w:eastAsia="zh-CN"/>
              </w:rPr>
              <w:t>2936</w:t>
            </w:r>
          </w:p>
        </w:tc>
      </w:tr>
      <w:tr w14:paraId="61E9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775" w:type="dxa"/>
            <w:noWrap w:val="0"/>
            <w:vAlign w:val="top"/>
          </w:tcPr>
          <w:p w14:paraId="3590E488">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2</w:t>
            </w:r>
          </w:p>
        </w:tc>
        <w:tc>
          <w:tcPr>
            <w:tcW w:w="1610" w:type="dxa"/>
            <w:noWrap w:val="0"/>
            <w:vAlign w:val="top"/>
          </w:tcPr>
          <w:p w14:paraId="4C06DB98">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残膜临时堆放点</w:t>
            </w:r>
          </w:p>
        </w:tc>
        <w:tc>
          <w:tcPr>
            <w:tcW w:w="2100" w:type="dxa"/>
            <w:noWrap w:val="0"/>
            <w:vAlign w:val="top"/>
          </w:tcPr>
          <w:p w14:paraId="0846BFDC">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残膜临时堆放点租赁、维</w:t>
            </w:r>
            <w:r>
              <w:rPr>
                <w:rFonts w:hint="eastAsia" w:ascii="Times New Roman" w:hAnsi="Times New Roman" w:eastAsia="仿宋_GB2312" w:cs="Times New Roman"/>
                <w:b w:val="0"/>
                <w:bCs/>
                <w:sz w:val="21"/>
                <w:szCs w:val="21"/>
                <w:highlight w:val="none"/>
                <w:vertAlign w:val="baseline"/>
                <w:lang w:val="en-US" w:eastAsia="zh-CN"/>
              </w:rPr>
              <w:t>护</w:t>
            </w:r>
            <w:r>
              <w:rPr>
                <w:rFonts w:hint="default" w:ascii="Times New Roman" w:hAnsi="Times New Roman" w:eastAsia="仿宋_GB2312" w:cs="Times New Roman"/>
                <w:b w:val="0"/>
                <w:bCs/>
                <w:sz w:val="21"/>
                <w:szCs w:val="21"/>
                <w:highlight w:val="none"/>
                <w:vertAlign w:val="baseline"/>
                <w:lang w:val="en-US" w:eastAsia="zh-CN"/>
              </w:rPr>
              <w:t>、</w:t>
            </w:r>
            <w:r>
              <w:rPr>
                <w:rFonts w:hint="eastAsia" w:ascii="Times New Roman" w:hAnsi="Times New Roman" w:eastAsia="仿宋_GB2312" w:cs="Times New Roman"/>
                <w:b w:val="0"/>
                <w:bCs/>
                <w:sz w:val="21"/>
                <w:szCs w:val="21"/>
                <w:highlight w:val="none"/>
                <w:vertAlign w:val="baseline"/>
                <w:lang w:val="en-US" w:eastAsia="zh-CN"/>
              </w:rPr>
              <w:t>清</w:t>
            </w:r>
            <w:r>
              <w:rPr>
                <w:rFonts w:hint="default" w:ascii="Times New Roman" w:hAnsi="Times New Roman" w:eastAsia="仿宋_GB2312" w:cs="Times New Roman"/>
                <w:b w:val="0"/>
                <w:bCs/>
                <w:sz w:val="21"/>
                <w:szCs w:val="21"/>
                <w:highlight w:val="none"/>
                <w:vertAlign w:val="baseline"/>
                <w:lang w:val="en-US" w:eastAsia="zh-CN"/>
              </w:rPr>
              <w:t>运等</w:t>
            </w:r>
          </w:p>
        </w:tc>
        <w:tc>
          <w:tcPr>
            <w:tcW w:w="929" w:type="dxa"/>
            <w:noWrap w:val="0"/>
            <w:vAlign w:val="top"/>
          </w:tcPr>
          <w:p w14:paraId="4B49B7D0">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3个</w:t>
            </w:r>
          </w:p>
        </w:tc>
        <w:tc>
          <w:tcPr>
            <w:tcW w:w="1141" w:type="dxa"/>
            <w:noWrap w:val="0"/>
            <w:vAlign w:val="top"/>
          </w:tcPr>
          <w:p w14:paraId="455018C3">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20万元/个</w:t>
            </w:r>
          </w:p>
        </w:tc>
        <w:tc>
          <w:tcPr>
            <w:tcW w:w="1250" w:type="dxa"/>
            <w:noWrap w:val="0"/>
            <w:vAlign w:val="top"/>
          </w:tcPr>
          <w:p w14:paraId="114B87B1">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新疆农业大学（第三方）</w:t>
            </w:r>
          </w:p>
        </w:tc>
        <w:tc>
          <w:tcPr>
            <w:tcW w:w="1500" w:type="dxa"/>
            <w:noWrap w:val="0"/>
            <w:vAlign w:val="top"/>
          </w:tcPr>
          <w:p w14:paraId="0BFED9A3">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60</w:t>
            </w:r>
          </w:p>
        </w:tc>
      </w:tr>
      <w:tr w14:paraId="31F6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75" w:type="dxa"/>
            <w:noWrap w:val="0"/>
            <w:vAlign w:val="top"/>
          </w:tcPr>
          <w:p w14:paraId="35D44FE2">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3</w:t>
            </w:r>
          </w:p>
        </w:tc>
        <w:tc>
          <w:tcPr>
            <w:tcW w:w="1610" w:type="dxa"/>
            <w:noWrap w:val="0"/>
            <w:vAlign w:val="top"/>
          </w:tcPr>
          <w:p w14:paraId="4E630A85">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sz w:val="21"/>
                <w:szCs w:val="21"/>
                <w:highlight w:val="none"/>
                <w:vertAlign w:val="baseline"/>
                <w:lang w:val="en-US" w:eastAsia="zh-CN"/>
              </w:rPr>
              <w:t>法规政策宣传、技术推广培训、农业执法</w:t>
            </w:r>
          </w:p>
        </w:tc>
        <w:tc>
          <w:tcPr>
            <w:tcW w:w="2100" w:type="dxa"/>
            <w:noWrap w:val="0"/>
            <w:vAlign w:val="top"/>
          </w:tcPr>
          <w:p w14:paraId="1058EDDD">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sz w:val="21"/>
                <w:szCs w:val="21"/>
                <w:highlight w:val="none"/>
                <w:vertAlign w:val="baseline"/>
                <w:lang w:val="en-US" w:eastAsia="zh-CN"/>
              </w:rPr>
              <w:t>宣传、培训、农膜</w:t>
            </w:r>
            <w:r>
              <w:rPr>
                <w:rFonts w:hint="eastAsia" w:ascii="Times New Roman" w:hAnsi="Times New Roman" w:eastAsia="仿宋_GB2312" w:cs="Times New Roman"/>
                <w:sz w:val="21"/>
                <w:szCs w:val="21"/>
                <w:highlight w:val="none"/>
                <w:vertAlign w:val="baseline"/>
                <w:lang w:val="en-US" w:eastAsia="zh-CN"/>
              </w:rPr>
              <w:t>执法检查</w:t>
            </w:r>
          </w:p>
        </w:tc>
        <w:tc>
          <w:tcPr>
            <w:tcW w:w="929" w:type="dxa"/>
            <w:noWrap w:val="0"/>
            <w:vAlign w:val="top"/>
          </w:tcPr>
          <w:p w14:paraId="2008BE7D">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w:t>
            </w:r>
          </w:p>
        </w:tc>
        <w:tc>
          <w:tcPr>
            <w:tcW w:w="1141" w:type="dxa"/>
            <w:noWrap w:val="0"/>
            <w:vAlign w:val="top"/>
          </w:tcPr>
          <w:p w14:paraId="31F9FFD4">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w:t>
            </w:r>
          </w:p>
        </w:tc>
        <w:tc>
          <w:tcPr>
            <w:tcW w:w="1250" w:type="dxa"/>
            <w:noWrap w:val="0"/>
            <w:vAlign w:val="top"/>
          </w:tcPr>
          <w:p w14:paraId="1DF2F330">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县农业农村局</w:t>
            </w:r>
          </w:p>
        </w:tc>
        <w:tc>
          <w:tcPr>
            <w:tcW w:w="1500" w:type="dxa"/>
            <w:noWrap w:val="0"/>
            <w:vAlign w:val="top"/>
          </w:tcPr>
          <w:p w14:paraId="47DC1D6C">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eastAsia" w:ascii="Times New Roman" w:hAnsi="Times New Roman" w:eastAsia="仿宋_GB2312" w:cs="Times New Roman"/>
                <w:b w:val="0"/>
                <w:bCs/>
                <w:sz w:val="21"/>
                <w:szCs w:val="21"/>
                <w:highlight w:val="none"/>
                <w:vertAlign w:val="baseline"/>
                <w:lang w:val="en-US" w:eastAsia="zh-CN"/>
              </w:rPr>
              <w:t>4.8525</w:t>
            </w:r>
          </w:p>
        </w:tc>
      </w:tr>
      <w:tr w14:paraId="5D6C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5" w:type="dxa"/>
            <w:gridSpan w:val="5"/>
            <w:noWrap w:val="0"/>
            <w:vAlign w:val="top"/>
          </w:tcPr>
          <w:p w14:paraId="1673725C">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合计</w:t>
            </w:r>
          </w:p>
        </w:tc>
        <w:tc>
          <w:tcPr>
            <w:tcW w:w="1250" w:type="dxa"/>
            <w:noWrap w:val="0"/>
            <w:vAlign w:val="top"/>
          </w:tcPr>
          <w:p w14:paraId="32E48A2D">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p>
        </w:tc>
        <w:tc>
          <w:tcPr>
            <w:tcW w:w="1500" w:type="dxa"/>
            <w:noWrap w:val="0"/>
            <w:vAlign w:val="top"/>
          </w:tcPr>
          <w:p w14:paraId="76EE665B">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1"/>
                <w:szCs w:val="21"/>
                <w:highlight w:val="none"/>
                <w:vertAlign w:val="baseline"/>
                <w:lang w:val="en-US" w:eastAsia="zh-CN"/>
              </w:rPr>
            </w:pPr>
            <w:r>
              <w:rPr>
                <w:rFonts w:hint="default" w:ascii="Times New Roman" w:hAnsi="Times New Roman" w:eastAsia="仿宋_GB2312" w:cs="Times New Roman"/>
                <w:b w:val="0"/>
                <w:bCs/>
                <w:sz w:val="21"/>
                <w:szCs w:val="21"/>
                <w:highlight w:val="none"/>
                <w:vertAlign w:val="baseline"/>
                <w:lang w:val="en-US" w:eastAsia="zh-CN"/>
              </w:rPr>
              <w:t>262.</w:t>
            </w:r>
            <w:r>
              <w:rPr>
                <w:rFonts w:hint="eastAsia" w:ascii="Times New Roman" w:hAnsi="Times New Roman" w:eastAsia="仿宋_GB2312" w:cs="Times New Roman"/>
                <w:b w:val="0"/>
                <w:bCs/>
                <w:sz w:val="21"/>
                <w:szCs w:val="21"/>
                <w:highlight w:val="none"/>
                <w:vertAlign w:val="baseline"/>
                <w:lang w:val="en-US" w:eastAsia="zh-CN"/>
              </w:rPr>
              <w:t>715436</w:t>
            </w:r>
          </w:p>
        </w:tc>
      </w:tr>
    </w:tbl>
    <w:p w14:paraId="020856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五、保障措施。</w:t>
      </w:r>
    </w:p>
    <w:p w14:paraId="0BDA5106">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_GB2312" w:cs="Times New Roman"/>
          <w:b w:val="0"/>
          <w:bCs/>
          <w:i w:val="0"/>
          <w:caps w:val="0"/>
          <w:color w:val="000000"/>
          <w:spacing w:val="0"/>
          <w:kern w:val="0"/>
          <w:sz w:val="32"/>
          <w:szCs w:val="32"/>
          <w:u w:val="none"/>
          <w:lang w:val="en-US" w:eastAsia="zh-CN"/>
        </w:rPr>
      </w:pPr>
      <w:r>
        <w:rPr>
          <w:rFonts w:hint="default" w:ascii="Times New Roman" w:hAnsi="Times New Roman" w:eastAsia="楷体_GB2312" w:cs="Times New Roman"/>
          <w:b/>
          <w:bCs w:val="0"/>
          <w:i w:val="0"/>
          <w:caps w:val="0"/>
          <w:color w:val="000000"/>
          <w:spacing w:val="0"/>
          <w:kern w:val="0"/>
          <w:sz w:val="32"/>
          <w:szCs w:val="32"/>
          <w:u w:val="none"/>
          <w:lang w:val="en-US" w:eastAsia="zh-CN"/>
        </w:rPr>
        <w:t>（一）责任分工：</w:t>
      </w:r>
    </w:p>
    <w:p w14:paraId="4F4789B1">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both"/>
        <w:textAlignment w:val="auto"/>
        <w:outlineLvl w:val="9"/>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bCs/>
          <w:color w:val="auto"/>
          <w:spacing w:val="0"/>
          <w:sz w:val="32"/>
          <w:szCs w:val="32"/>
          <w:highlight w:val="none"/>
          <w:lang w:eastAsia="zh-CN"/>
        </w:rPr>
        <w:t>1.农业农村</w:t>
      </w:r>
      <w:r>
        <w:rPr>
          <w:rFonts w:hint="eastAsia" w:ascii="Times New Roman" w:hAnsi="Times New Roman" w:eastAsia="仿宋_GB2312" w:cs="Times New Roman"/>
          <w:b/>
          <w:bCs/>
          <w:color w:val="auto"/>
          <w:spacing w:val="0"/>
          <w:sz w:val="32"/>
          <w:szCs w:val="32"/>
          <w:highlight w:val="none"/>
          <w:lang w:val="en-US" w:eastAsia="zh-CN"/>
        </w:rPr>
        <w:t>局</w:t>
      </w:r>
      <w:r>
        <w:rPr>
          <w:rFonts w:hint="default" w:ascii="Times New Roman" w:hAnsi="Times New Roman"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w w:val="100"/>
          <w:kern w:val="2"/>
          <w:sz w:val="32"/>
          <w:szCs w:val="32"/>
          <w:highlight w:val="none"/>
          <w:lang w:val="en-US" w:eastAsia="zh-CN"/>
        </w:rPr>
        <w:t>负责农田地膜使用、回收监督管理工作，指导农田地膜回收利用体系建设，加强农田地膜使用控制，执行自治区废旧农田地膜分类分级标准，为农田地膜回收、再利用提供技术指导和服务等。</w:t>
      </w:r>
    </w:p>
    <w:p w14:paraId="58AAA1B4">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outlineLvl w:val="9"/>
        <w:rPr>
          <w:rFonts w:hint="default" w:ascii="Times New Roman" w:hAnsi="Times New Roman" w:eastAsia="仿宋_GB2312" w:cs="Times New Roman"/>
          <w:color w:val="auto"/>
          <w:spacing w:val="0"/>
          <w:w w:val="100"/>
          <w:kern w:val="2"/>
          <w:sz w:val="32"/>
          <w:szCs w:val="32"/>
          <w:highlight w:val="none"/>
          <w:lang w:val="en-US" w:eastAsia="zh-CN"/>
        </w:rPr>
      </w:pPr>
      <w:r>
        <w:rPr>
          <w:rFonts w:hint="default" w:ascii="Times New Roman" w:hAnsi="Times New Roman" w:eastAsia="仿宋_GB2312" w:cs="Times New Roman"/>
          <w:b/>
          <w:bCs/>
          <w:color w:val="auto"/>
          <w:spacing w:val="0"/>
          <w:sz w:val="32"/>
          <w:szCs w:val="32"/>
          <w:highlight w:val="none"/>
          <w:lang w:eastAsia="zh-CN"/>
        </w:rPr>
        <w:t>2.市场监督管理</w:t>
      </w:r>
      <w:r>
        <w:rPr>
          <w:rFonts w:hint="eastAsia" w:ascii="Times New Roman" w:hAnsi="Times New Roman" w:eastAsia="仿宋_GB2312" w:cs="Times New Roman"/>
          <w:b/>
          <w:bCs/>
          <w:color w:val="auto"/>
          <w:spacing w:val="0"/>
          <w:sz w:val="32"/>
          <w:szCs w:val="32"/>
          <w:highlight w:val="none"/>
          <w:lang w:val="en-US" w:eastAsia="zh-CN"/>
        </w:rPr>
        <w:t>局</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w w:val="100"/>
          <w:kern w:val="2"/>
          <w:sz w:val="32"/>
          <w:szCs w:val="32"/>
          <w:highlight w:val="none"/>
          <w:lang w:val="en-US" w:eastAsia="zh-CN" w:bidi="ar-SA"/>
        </w:rPr>
        <w:t>负责农田地膜生产、销售领域的产品质量监督管理工作。</w:t>
      </w:r>
    </w:p>
    <w:p w14:paraId="7F2CE316">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both"/>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bCs/>
          <w:color w:val="auto"/>
          <w:spacing w:val="0"/>
          <w:sz w:val="32"/>
          <w:szCs w:val="32"/>
          <w:highlight w:val="none"/>
          <w:lang w:eastAsia="zh-CN"/>
        </w:rPr>
        <w:t>3.</w:t>
      </w:r>
      <w:r>
        <w:rPr>
          <w:rFonts w:hint="eastAsia" w:ascii="Times New Roman" w:hAnsi="Times New Roman" w:eastAsia="仿宋_GB2312" w:cs="Times New Roman"/>
          <w:b/>
          <w:bCs/>
          <w:color w:val="auto"/>
          <w:spacing w:val="0"/>
          <w:sz w:val="32"/>
          <w:szCs w:val="32"/>
          <w:highlight w:val="none"/>
          <w:lang w:val="en-US" w:eastAsia="zh-CN"/>
        </w:rPr>
        <w:t>塔城地区生态环境局和布克赛尔县分局</w:t>
      </w:r>
      <w:r>
        <w:rPr>
          <w:rFonts w:hint="default" w:ascii="Times New Roman" w:hAnsi="Times New Roman" w:eastAsia="仿宋_GB2312" w:cs="Times New Roman"/>
          <w:b/>
          <w:bCs/>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负责农用薄膜</w:t>
      </w:r>
      <w:r>
        <w:rPr>
          <w:rFonts w:hint="default" w:ascii="Times New Roman" w:hAnsi="Times New Roman" w:eastAsia="仿宋_GB2312" w:cs="Times New Roman"/>
          <w:b w:val="0"/>
          <w:bCs w:val="0"/>
          <w:color w:val="auto"/>
          <w:spacing w:val="0"/>
          <w:sz w:val="32"/>
          <w:szCs w:val="32"/>
          <w:highlight w:val="none"/>
          <w:lang w:val="en-US" w:eastAsia="zh-CN"/>
        </w:rPr>
        <w:t>使用</w:t>
      </w:r>
      <w:r>
        <w:rPr>
          <w:rFonts w:hint="default" w:ascii="Times New Roman" w:hAnsi="Times New Roman" w:eastAsia="仿宋_GB2312" w:cs="Times New Roman"/>
          <w:b w:val="0"/>
          <w:bCs w:val="0"/>
          <w:color w:val="auto"/>
          <w:spacing w:val="0"/>
          <w:sz w:val="32"/>
          <w:szCs w:val="32"/>
          <w:highlight w:val="none"/>
          <w:lang w:eastAsia="zh-CN"/>
        </w:rPr>
        <w:t>回收过程环境污染防治的监督管理工作。</w:t>
      </w:r>
    </w:p>
    <w:p w14:paraId="0BCB1799">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both"/>
        <w:textAlignment w:val="auto"/>
        <w:outlineLvl w:val="9"/>
        <w:rPr>
          <w:rFonts w:hint="default" w:ascii="Times New Roman" w:hAnsi="Times New Roman" w:eastAsia="仿宋_GB2312" w:cs="Times New Roman"/>
          <w:b/>
          <w:bCs/>
          <w:color w:val="auto"/>
          <w:spacing w:val="0"/>
          <w:sz w:val="32"/>
          <w:szCs w:val="32"/>
          <w:highlight w:val="none"/>
          <w:lang w:eastAsia="zh-CN"/>
        </w:rPr>
      </w:pPr>
      <w:r>
        <w:rPr>
          <w:rFonts w:hint="default" w:ascii="Times New Roman" w:hAnsi="Times New Roman" w:eastAsia="仿宋_GB2312" w:cs="Times New Roman"/>
          <w:b/>
          <w:bCs/>
          <w:color w:val="auto"/>
          <w:spacing w:val="0"/>
          <w:sz w:val="32"/>
          <w:szCs w:val="32"/>
          <w:highlight w:val="none"/>
          <w:lang w:eastAsia="zh-CN"/>
        </w:rPr>
        <w:t>4.</w:t>
      </w:r>
      <w:r>
        <w:rPr>
          <w:rFonts w:hint="default" w:ascii="Times New Roman" w:hAnsi="Times New Roman" w:eastAsia="仿宋_GB2312" w:cs="Times New Roman"/>
          <w:b/>
          <w:bCs/>
          <w:color w:val="auto"/>
          <w:spacing w:val="0"/>
          <w:sz w:val="32"/>
          <w:szCs w:val="32"/>
          <w:highlight w:val="none"/>
          <w:lang w:val="en-US" w:eastAsia="zh-CN"/>
        </w:rPr>
        <w:t>财政</w:t>
      </w:r>
      <w:r>
        <w:rPr>
          <w:rFonts w:hint="eastAsia" w:ascii="Times New Roman" w:hAnsi="Times New Roman" w:eastAsia="仿宋_GB2312" w:cs="Times New Roman"/>
          <w:b/>
          <w:bCs/>
          <w:color w:val="auto"/>
          <w:spacing w:val="0"/>
          <w:sz w:val="32"/>
          <w:szCs w:val="32"/>
          <w:highlight w:val="none"/>
          <w:lang w:val="en-US" w:eastAsia="zh-CN"/>
        </w:rPr>
        <w:t>局</w:t>
      </w:r>
      <w:r>
        <w:rPr>
          <w:rFonts w:hint="default" w:ascii="Times New Roman" w:hAnsi="Times New Roman" w:eastAsia="仿宋_GB2312" w:cs="Times New Roman"/>
          <w:b/>
          <w:bCs/>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eastAsia="zh-CN"/>
        </w:rPr>
        <w:t>负责</w:t>
      </w:r>
      <w:r>
        <w:rPr>
          <w:rFonts w:hint="default" w:ascii="Times New Roman" w:hAnsi="Times New Roman" w:eastAsia="仿宋_GB2312" w:cs="Times New Roman"/>
          <w:b w:val="0"/>
          <w:bCs w:val="0"/>
          <w:color w:val="auto"/>
          <w:spacing w:val="0"/>
          <w:sz w:val="32"/>
          <w:szCs w:val="32"/>
          <w:highlight w:val="none"/>
          <w:lang w:val="en-US" w:eastAsia="zh-CN"/>
        </w:rPr>
        <w:t>本县农田地膜相关资金的预算分解下达、资金审核拨付及使用监管责任，保证资金的有效性、合规性、安全性</w:t>
      </w:r>
      <w:r>
        <w:rPr>
          <w:rFonts w:hint="default" w:ascii="Times New Roman" w:hAnsi="Times New Roman" w:eastAsia="仿宋_GB2312" w:cs="Times New Roman"/>
          <w:b w:val="0"/>
          <w:bCs w:val="0"/>
          <w:color w:val="auto"/>
          <w:spacing w:val="0"/>
          <w:sz w:val="32"/>
          <w:szCs w:val="32"/>
          <w:highlight w:val="none"/>
          <w:lang w:eastAsia="zh-CN"/>
        </w:rPr>
        <w:t>。</w:t>
      </w:r>
    </w:p>
    <w:p w14:paraId="6445CA01">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楷体_GB2312" w:cs="Times New Roman"/>
          <w:b/>
          <w:bCs w:val="0"/>
          <w:i w:val="0"/>
          <w:caps w:val="0"/>
          <w:color w:val="000000"/>
          <w:spacing w:val="0"/>
          <w:kern w:val="0"/>
          <w:sz w:val="32"/>
          <w:szCs w:val="32"/>
          <w:u w:val="none"/>
          <w:lang w:val="en-US" w:eastAsia="zh-CN"/>
        </w:rPr>
        <w:t>（二）强化组织领导。</w:t>
      </w:r>
      <w:r>
        <w:rPr>
          <w:rFonts w:hint="default" w:ascii="Times New Roman" w:hAnsi="Times New Roman" w:eastAsia="仿宋_GB2312" w:cs="Times New Roman"/>
          <w:bCs/>
          <w:sz w:val="32"/>
          <w:szCs w:val="32"/>
          <w:lang w:val="en-US" w:eastAsia="zh-CN"/>
        </w:rPr>
        <w:t>本项目由和布克赛尔县人民政府牵头领导，组织县</w:t>
      </w:r>
      <w:bookmarkStart w:id="1" w:name="_GoBack"/>
      <w:bookmarkEnd w:id="1"/>
      <w:r>
        <w:rPr>
          <w:rFonts w:hint="default" w:ascii="Times New Roman" w:hAnsi="Times New Roman" w:eastAsia="仿宋_GB2312" w:cs="Times New Roman"/>
          <w:bCs/>
          <w:sz w:val="32"/>
          <w:szCs w:val="32"/>
          <w:lang w:val="en-US" w:eastAsia="zh-CN"/>
        </w:rPr>
        <w:t>农业农村局、塔城地区生态环境局和布克赛尔县分局、县财政局具体实施。统筹规划，协同推进。由县农业农村局制定具体的项目实施方案，保障项目的有效运行。县财政局负责项目资金的拨付，保障资金专款专用，塔城地区生态环境局和布克赛尔县分局和农业行政执法大队负责执法宣传，各乡镇人民政府负责各示范区具体落实。建立地膜科学使用回收利用体系的长效运行机制。</w:t>
      </w:r>
    </w:p>
    <w:p w14:paraId="5D7543F0">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楷体_GB2312" w:cs="Times New Roman"/>
          <w:b/>
          <w:bCs w:val="0"/>
          <w:i w:val="0"/>
          <w:caps w:val="0"/>
          <w:color w:val="000000"/>
          <w:spacing w:val="0"/>
          <w:kern w:val="0"/>
          <w:sz w:val="32"/>
          <w:szCs w:val="32"/>
          <w:u w:val="none"/>
          <w:lang w:val="en-US" w:eastAsia="zh-CN"/>
        </w:rPr>
        <w:t>（三）强化资金管理。</w:t>
      </w:r>
      <w:r>
        <w:rPr>
          <w:rFonts w:hint="default" w:ascii="Times New Roman" w:hAnsi="Times New Roman" w:eastAsia="仿宋_GB2312" w:cs="Times New Roman"/>
          <w:bCs/>
          <w:sz w:val="32"/>
          <w:szCs w:val="32"/>
          <w:lang w:val="en-US" w:eastAsia="zh-CN"/>
        </w:rPr>
        <w:t>抓好补助资金落实落地工作，定期调度和报送资金使用进度。加强绩效考核评价，保障资金规范使用，做到专款专用，采用适当形式公示补贴发放情况，接受社会监督。杜绝弄虚作假行为，不得套取、挤占、截留、挪用补贴资金，确保资金充分发挥效益。</w:t>
      </w:r>
    </w:p>
    <w:p w14:paraId="076911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六、效益分析</w:t>
      </w:r>
    </w:p>
    <w:p w14:paraId="3A851A63">
      <w:pPr>
        <w:pStyle w:val="6"/>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val="0"/>
          <w:i w:val="0"/>
          <w:caps w:val="0"/>
          <w:color w:val="000000"/>
          <w:spacing w:val="0"/>
          <w:kern w:val="0"/>
          <w:sz w:val="32"/>
          <w:szCs w:val="32"/>
          <w:u w:val="none"/>
          <w:lang w:val="en-US" w:eastAsia="zh-CN" w:bidi="ar-SA"/>
        </w:rPr>
        <w:t>（一）经济效益。</w:t>
      </w:r>
      <w:r>
        <w:rPr>
          <w:rFonts w:hint="default" w:ascii="Times New Roman" w:hAnsi="Times New Roman" w:eastAsia="楷体_GB2312" w:cs="Times New Roman"/>
          <w:b w:val="0"/>
          <w:bCs/>
          <w:sz w:val="32"/>
          <w:szCs w:val="32"/>
          <w:highlight w:val="none"/>
          <w:lang w:val="en-US" w:eastAsia="zh-CN"/>
        </w:rPr>
        <w:t>该</w:t>
      </w:r>
      <w:r>
        <w:rPr>
          <w:rFonts w:hint="default" w:ascii="Times New Roman" w:hAnsi="Times New Roman" w:eastAsia="仿宋_GB2312" w:cs="Times New Roman"/>
          <w:b w:val="0"/>
          <w:bCs/>
          <w:sz w:val="32"/>
          <w:szCs w:val="32"/>
          <w:highlight w:val="none"/>
          <w:lang w:val="en-US" w:eastAsia="zh-CN"/>
        </w:rPr>
        <w:t>项目实施可进一步提高地膜的增温、</w:t>
      </w:r>
      <w:r>
        <w:rPr>
          <w:rFonts w:hint="eastAsia" w:ascii="Times New Roman" w:hAnsi="Times New Roman" w:eastAsia="仿宋_GB2312" w:cs="Times New Roman"/>
          <w:b w:val="0"/>
          <w:bCs/>
          <w:sz w:val="32"/>
          <w:szCs w:val="32"/>
          <w:highlight w:val="none"/>
          <w:lang w:val="en-US" w:eastAsia="zh-CN"/>
        </w:rPr>
        <w:t>保墒</w:t>
      </w:r>
      <w:r>
        <w:rPr>
          <w:rFonts w:hint="default" w:ascii="Times New Roman" w:hAnsi="Times New Roman" w:eastAsia="仿宋_GB2312" w:cs="Times New Roman"/>
          <w:b w:val="0"/>
          <w:bCs/>
          <w:sz w:val="32"/>
          <w:szCs w:val="32"/>
          <w:highlight w:val="none"/>
          <w:lang w:val="en-US" w:eastAsia="zh-CN"/>
        </w:rPr>
        <w:t>、除草作用，提高农作物产量</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清除残膜</w:t>
      </w:r>
      <w:r>
        <w:rPr>
          <w:rFonts w:hint="eastAsia" w:ascii="Times New Roman" w:hAnsi="Times New Roman" w:eastAsia="仿宋_GB2312" w:cs="Times New Roman"/>
          <w:b w:val="0"/>
          <w:bCs/>
          <w:sz w:val="32"/>
          <w:szCs w:val="32"/>
          <w:highlight w:val="none"/>
          <w:lang w:val="en-US" w:eastAsia="zh-CN"/>
        </w:rPr>
        <w:t>可以</w:t>
      </w:r>
      <w:r>
        <w:rPr>
          <w:rFonts w:hint="default" w:ascii="Times New Roman" w:hAnsi="Times New Roman" w:eastAsia="仿宋_GB2312" w:cs="Times New Roman"/>
          <w:b w:val="0"/>
          <w:bCs/>
          <w:sz w:val="32"/>
          <w:szCs w:val="32"/>
          <w:highlight w:val="none"/>
          <w:lang w:val="en-US" w:eastAsia="zh-CN"/>
        </w:rPr>
        <w:t>缓解由残膜污染引起的作物减产，预计可使作物增产15％以上、持续增收效益明显，</w:t>
      </w:r>
    </w:p>
    <w:p w14:paraId="33FE918E">
      <w:pPr>
        <w:pStyle w:val="6"/>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val="0"/>
          <w:i w:val="0"/>
          <w:caps w:val="0"/>
          <w:color w:val="000000"/>
          <w:spacing w:val="0"/>
          <w:kern w:val="0"/>
          <w:sz w:val="32"/>
          <w:szCs w:val="32"/>
          <w:u w:val="none"/>
          <w:lang w:val="en-US" w:eastAsia="zh-CN" w:bidi="ar-SA"/>
        </w:rPr>
        <w:t>（二）社会效益。</w:t>
      </w:r>
      <w:r>
        <w:rPr>
          <w:rFonts w:hint="default" w:ascii="Times New Roman" w:hAnsi="Times New Roman" w:eastAsia="楷体_GB2312" w:cs="Times New Roman"/>
          <w:b w:val="0"/>
          <w:bCs/>
          <w:sz w:val="32"/>
          <w:szCs w:val="32"/>
          <w:highlight w:val="none"/>
          <w:lang w:val="en-US" w:eastAsia="zh-CN"/>
        </w:rPr>
        <w:t>该</w:t>
      </w:r>
      <w:r>
        <w:rPr>
          <w:rFonts w:hint="default" w:ascii="Times New Roman" w:hAnsi="Times New Roman" w:eastAsia="仿宋_GB2312" w:cs="Times New Roman"/>
          <w:b w:val="0"/>
          <w:bCs/>
          <w:sz w:val="32"/>
          <w:szCs w:val="32"/>
          <w:highlight w:val="none"/>
          <w:lang w:val="en-US" w:eastAsia="zh-CN"/>
        </w:rPr>
        <w:t>项目实施有利于</w:t>
      </w:r>
      <w:r>
        <w:rPr>
          <w:rFonts w:hint="eastAsia" w:ascii="Times New Roman" w:hAnsi="Times New Roman" w:eastAsia="仿宋_GB2312" w:cs="Times New Roman"/>
          <w:b w:val="0"/>
          <w:bCs/>
          <w:sz w:val="32"/>
          <w:szCs w:val="32"/>
          <w:highlight w:val="none"/>
          <w:lang w:val="en-US" w:eastAsia="zh-CN"/>
        </w:rPr>
        <w:t>提</w:t>
      </w:r>
      <w:r>
        <w:rPr>
          <w:rFonts w:hint="default" w:ascii="Times New Roman" w:hAnsi="Times New Roman" w:eastAsia="仿宋_GB2312" w:cs="Times New Roman"/>
          <w:b w:val="0"/>
          <w:bCs/>
          <w:sz w:val="32"/>
          <w:szCs w:val="32"/>
          <w:highlight w:val="none"/>
          <w:lang w:val="en-US" w:eastAsia="zh-CN"/>
        </w:rPr>
        <w:t>高</w:t>
      </w:r>
      <w:r>
        <w:rPr>
          <w:rFonts w:hint="eastAsia" w:ascii="Times New Roman" w:hAnsi="Times New Roman" w:eastAsia="仿宋_GB2312" w:cs="Times New Roman"/>
          <w:b w:val="0"/>
          <w:bCs/>
          <w:sz w:val="32"/>
          <w:szCs w:val="32"/>
          <w:highlight w:val="none"/>
          <w:lang w:val="en-US" w:eastAsia="zh-CN"/>
        </w:rPr>
        <w:t>残</w:t>
      </w:r>
      <w:r>
        <w:rPr>
          <w:rFonts w:hint="default" w:ascii="Times New Roman" w:hAnsi="Times New Roman" w:eastAsia="仿宋_GB2312" w:cs="Times New Roman"/>
          <w:b w:val="0"/>
          <w:bCs/>
          <w:sz w:val="32"/>
          <w:szCs w:val="32"/>
          <w:highlight w:val="none"/>
          <w:lang w:val="en-US" w:eastAsia="zh-CN"/>
        </w:rPr>
        <w:t>膜的回收率，既促进农村人居环境整治，又实现废旧资源再生利用，促进农业农村可持续发展。同时，通过项目实施，扶持企业基础设施建设，提高废旧地膜加工再利用水平，增强</w:t>
      </w:r>
      <w:r>
        <w:rPr>
          <w:rFonts w:hint="eastAsia" w:ascii="Times New Roman" w:hAnsi="Times New Roman" w:eastAsia="仿宋_GB2312" w:cs="Times New Roman"/>
          <w:b w:val="0"/>
          <w:bCs/>
          <w:sz w:val="32"/>
          <w:szCs w:val="32"/>
          <w:highlight w:val="none"/>
          <w:lang w:val="en-US" w:eastAsia="zh-CN"/>
        </w:rPr>
        <w:t>整体</w:t>
      </w:r>
      <w:r>
        <w:rPr>
          <w:rFonts w:hint="default" w:ascii="Times New Roman" w:hAnsi="Times New Roman" w:eastAsia="仿宋_GB2312" w:cs="Times New Roman"/>
          <w:b w:val="0"/>
          <w:bCs/>
          <w:sz w:val="32"/>
          <w:szCs w:val="32"/>
          <w:highlight w:val="none"/>
          <w:lang w:val="en-US" w:eastAsia="zh-CN"/>
        </w:rPr>
        <w:t>经济发展。</w:t>
      </w:r>
    </w:p>
    <w:p w14:paraId="6781143A">
      <w:pPr>
        <w:pStyle w:val="6"/>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val="0"/>
          <w:i w:val="0"/>
          <w:caps w:val="0"/>
          <w:color w:val="000000"/>
          <w:spacing w:val="0"/>
          <w:kern w:val="0"/>
          <w:sz w:val="32"/>
          <w:szCs w:val="32"/>
          <w:u w:val="none"/>
          <w:lang w:val="en-US" w:eastAsia="zh-CN" w:bidi="ar-SA"/>
        </w:rPr>
        <w:t>（三）生态效益。</w:t>
      </w:r>
      <w:r>
        <w:rPr>
          <w:rFonts w:hint="default" w:ascii="Times New Roman" w:hAnsi="Times New Roman" w:eastAsia="仿宋_GB2312" w:cs="Times New Roman"/>
          <w:b w:val="0"/>
          <w:bCs/>
          <w:sz w:val="32"/>
          <w:szCs w:val="32"/>
          <w:highlight w:val="none"/>
          <w:lang w:val="en-US" w:eastAsia="zh-CN"/>
        </w:rPr>
        <w:t>该项目实施可从根本上解决覆膜种植带来的环境污染问题，净化土壤，改善土壤生态环境，保护农田土壤、实现地膜覆盖技术条件下土壤的水肥和微生物的良性循环、特别是加厚高强度地膜的使用，可以基本全部回收当季地膜，实现农业生产环境</w:t>
      </w:r>
      <w:r>
        <w:rPr>
          <w:rFonts w:hint="eastAsia" w:ascii="Times New Roman" w:hAnsi="Times New Roman" w:eastAsia="仿宋_GB2312" w:cs="Times New Roman"/>
          <w:b w:val="0"/>
          <w:bCs/>
          <w:sz w:val="32"/>
          <w:szCs w:val="32"/>
          <w:highlight w:val="none"/>
          <w:lang w:val="en-US" w:eastAsia="zh-CN"/>
        </w:rPr>
        <w:t>向好</w:t>
      </w:r>
      <w:r>
        <w:rPr>
          <w:rFonts w:hint="default" w:ascii="Times New Roman" w:hAnsi="Times New Roman" w:eastAsia="仿宋_GB2312" w:cs="Times New Roman"/>
          <w:b w:val="0"/>
          <w:bCs/>
          <w:sz w:val="32"/>
          <w:szCs w:val="32"/>
          <w:highlight w:val="none"/>
          <w:lang w:val="en-US" w:eastAsia="zh-CN"/>
        </w:rPr>
        <w:t>，促进农业可持续发展。</w:t>
      </w:r>
    </w:p>
    <w:p w14:paraId="73A5C2A1">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299E71FC">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p>
    <w:p w14:paraId="4BB9F0DC">
      <w:pPr>
        <w:keepNext w:val="0"/>
        <w:keepLines w:val="0"/>
        <w:pageBreakBefore w:val="0"/>
        <w:widowControl w:val="0"/>
        <w:kinsoku/>
        <w:wordWrap/>
        <w:overflowPunct/>
        <w:topLinePunct w:val="0"/>
        <w:autoSpaceDE/>
        <w:autoSpaceDN/>
        <w:bidi w:val="0"/>
        <w:adjustRightInd/>
        <w:snapToGrid/>
        <w:spacing w:after="0" w:line="520" w:lineRule="exact"/>
        <w:ind w:firstLine="440" w:firstLineChars="10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2026年申报</w:t>
      </w:r>
      <w:r>
        <w:rPr>
          <w:rFonts w:hint="default" w:ascii="Times New Roman" w:hAnsi="Times New Roman" w:eastAsia="方正小标宋_GBK" w:cs="Times New Roman"/>
          <w:color w:val="auto"/>
          <w:sz w:val="44"/>
          <w:szCs w:val="44"/>
        </w:rPr>
        <w:t>加厚高强度地膜</w:t>
      </w:r>
      <w:r>
        <w:rPr>
          <w:rFonts w:hint="default" w:ascii="Times New Roman" w:hAnsi="Times New Roman" w:eastAsia="方正小标宋_GBK" w:cs="Times New Roman"/>
          <w:color w:val="auto"/>
          <w:sz w:val="44"/>
          <w:szCs w:val="44"/>
          <w:lang w:val="en-US" w:eastAsia="zh-CN"/>
        </w:rPr>
        <w:t>补助流程</w:t>
      </w:r>
    </w:p>
    <w:p w14:paraId="7AD47666">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shd w:val="clear" w:color="auto" w:fill="FFFFFF"/>
          <w:lang w:val="en-US" w:eastAsia="zh-CN"/>
        </w:rPr>
      </w:pPr>
      <w:r>
        <w:rPr>
          <w:rFonts w:hint="default" w:ascii="Times New Roman" w:hAnsi="Times New Roman" w:eastAsia="仿宋_GB2312" w:cs="Times New Roman"/>
          <w:kern w:val="0"/>
          <w:sz w:val="32"/>
          <w:szCs w:val="32"/>
        </w:rPr>
        <w:t>为切实做好</w:t>
      </w:r>
      <w:r>
        <w:rPr>
          <w:rFonts w:hint="default" w:ascii="Times New Roman" w:hAnsi="Times New Roman" w:eastAsia="仿宋_GB2312" w:cs="Times New Roman"/>
          <w:kern w:val="0"/>
          <w:sz w:val="32"/>
          <w:szCs w:val="32"/>
          <w:lang w:val="en-US" w:eastAsia="zh-CN"/>
        </w:rPr>
        <w:t>2026年加厚高强度地膜补助</w:t>
      </w:r>
      <w:r>
        <w:rPr>
          <w:rFonts w:hint="default" w:ascii="Times New Roman" w:hAnsi="Times New Roman" w:eastAsia="仿宋_GB2312" w:cs="Times New Roman"/>
          <w:kern w:val="0"/>
          <w:sz w:val="32"/>
          <w:szCs w:val="32"/>
        </w:rPr>
        <w:t>工作，规范</w:t>
      </w:r>
      <w:r>
        <w:rPr>
          <w:rFonts w:hint="default" w:ascii="Times New Roman" w:hAnsi="Times New Roman" w:eastAsia="仿宋_GB2312" w:cs="Times New Roman"/>
          <w:kern w:val="0"/>
          <w:sz w:val="32"/>
          <w:szCs w:val="32"/>
          <w:lang w:val="en-US" w:eastAsia="zh-CN"/>
        </w:rPr>
        <w:t>申请办理和</w:t>
      </w:r>
      <w:r>
        <w:rPr>
          <w:rFonts w:hint="default" w:ascii="Times New Roman" w:hAnsi="Times New Roman" w:eastAsia="仿宋_GB2312" w:cs="Times New Roman"/>
          <w:kern w:val="0"/>
          <w:sz w:val="32"/>
          <w:szCs w:val="32"/>
        </w:rPr>
        <w:t>核验行为，防范管理风险，提高办补效率，进一步便民利民，</w:t>
      </w:r>
      <w:r>
        <w:rPr>
          <w:rFonts w:hint="default" w:ascii="Times New Roman" w:hAnsi="Times New Roman" w:eastAsia="仿宋_GB2312" w:cs="Times New Roman"/>
          <w:i w:val="0"/>
          <w:caps w:val="0"/>
          <w:color w:val="000000"/>
          <w:spacing w:val="0"/>
          <w:kern w:val="32"/>
          <w:sz w:val="32"/>
          <w:szCs w:val="32"/>
          <w:shd w:val="clear" w:color="auto" w:fill="FFFFFF"/>
          <w:lang w:val="en-US" w:eastAsia="zh-CN"/>
        </w:rPr>
        <w:t>根据自治区农业农村厅、塔城地区农业农村局</w:t>
      </w:r>
      <w:r>
        <w:rPr>
          <w:rFonts w:hint="default" w:ascii="Times New Roman" w:hAnsi="Times New Roman" w:eastAsia="仿宋_GB2312" w:cs="Times New Roman"/>
          <w:kern w:val="0"/>
          <w:sz w:val="32"/>
          <w:szCs w:val="32"/>
        </w:rPr>
        <w:t>政策实施相关规定</w:t>
      </w:r>
      <w:r>
        <w:rPr>
          <w:rFonts w:hint="default" w:ascii="Times New Roman" w:hAnsi="Times New Roman" w:eastAsia="仿宋_GB2312" w:cs="Times New Roman"/>
          <w:i w:val="0"/>
          <w:caps w:val="0"/>
          <w:color w:val="000000"/>
          <w:spacing w:val="0"/>
          <w:kern w:val="32"/>
          <w:sz w:val="32"/>
          <w:szCs w:val="32"/>
          <w:shd w:val="clear" w:color="auto" w:fill="FFFFFF"/>
          <w:lang w:val="en-US" w:eastAsia="zh-CN"/>
        </w:rPr>
        <w:t>，</w:t>
      </w:r>
      <w:r>
        <w:rPr>
          <w:rFonts w:hint="default" w:ascii="Times New Roman" w:hAnsi="Times New Roman" w:eastAsia="仿宋_GB2312" w:cs="Times New Roman"/>
          <w:kern w:val="0"/>
          <w:sz w:val="32"/>
          <w:szCs w:val="32"/>
        </w:rPr>
        <w:t>结合</w:t>
      </w:r>
      <w:r>
        <w:rPr>
          <w:rFonts w:hint="default" w:ascii="Times New Roman" w:hAnsi="Times New Roman" w:eastAsia="仿宋_GB2312" w:cs="Times New Roman"/>
          <w:kern w:val="0"/>
          <w:sz w:val="32"/>
          <w:szCs w:val="32"/>
          <w:lang w:eastAsia="zh-CN"/>
        </w:rPr>
        <w:t>和布克赛尔县</w:t>
      </w:r>
      <w:r>
        <w:rPr>
          <w:rFonts w:hint="default" w:ascii="Times New Roman" w:hAnsi="Times New Roman" w:eastAsia="仿宋_GB2312" w:cs="Times New Roman"/>
          <w:kern w:val="0"/>
          <w:sz w:val="32"/>
          <w:szCs w:val="32"/>
        </w:rPr>
        <w:t>实际，</w:t>
      </w:r>
      <w:r>
        <w:rPr>
          <w:rFonts w:hint="default" w:ascii="Times New Roman" w:hAnsi="Times New Roman" w:eastAsia="仿宋_GB2312" w:cs="Times New Roman"/>
          <w:kern w:val="0"/>
          <w:sz w:val="32"/>
          <w:szCs w:val="32"/>
          <w:lang w:val="en-US" w:eastAsia="zh-CN"/>
        </w:rPr>
        <w:t>进一步规范2026年春季申办加厚高强度地膜补助具体流程如下：</w:t>
      </w:r>
    </w:p>
    <w:p w14:paraId="751733FA">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1、使用</w:t>
      </w:r>
      <w:r>
        <w:rPr>
          <w:rFonts w:hint="default" w:ascii="Times New Roman" w:hAnsi="Times New Roman" w:eastAsia="仿宋_GB2312" w:cs="Times New Roman"/>
          <w:kern w:val="0"/>
          <w:sz w:val="32"/>
          <w:szCs w:val="32"/>
          <w:lang w:val="en-US" w:eastAsia="zh-CN"/>
        </w:rPr>
        <w:t>加厚高强度地膜</w:t>
      </w: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农户实名制台账（各乡镇）。</w:t>
      </w:r>
    </w:p>
    <w:p w14:paraId="3AFA40CE">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2、产品合格证（产品名称、类别、标称厚度、宽度、参考长度、净质量、生产日期、生产厂家名称、地址、执行标准、检验员印章等）。</w:t>
      </w:r>
    </w:p>
    <w:p w14:paraId="4F64261F">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3、购买</w:t>
      </w:r>
      <w:r>
        <w:rPr>
          <w:rFonts w:hint="default" w:ascii="Times New Roman" w:hAnsi="Times New Roman" w:eastAsia="仿宋_GB2312" w:cs="Times New Roman"/>
          <w:kern w:val="0"/>
          <w:sz w:val="32"/>
          <w:szCs w:val="32"/>
          <w:lang w:val="en-US" w:eastAsia="zh-CN"/>
        </w:rPr>
        <w:t>加厚高强度地膜</w:t>
      </w: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发票（</w:t>
      </w:r>
      <w:r>
        <w:rPr>
          <w:rFonts w:hint="default" w:ascii="Times New Roman" w:hAnsi="Times New Roman" w:eastAsia="仿宋_GB2312" w:cs="Times New Roman"/>
          <w:kern w:val="0"/>
          <w:sz w:val="32"/>
          <w:szCs w:val="32"/>
          <w:lang w:val="en-US" w:eastAsia="zh-CN"/>
        </w:rPr>
        <w:t>加厚高强度</w:t>
      </w: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地膜使用的农户与种植大户实名制开增值税电子普通发票）。</w:t>
      </w:r>
    </w:p>
    <w:p w14:paraId="5FBAF056">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4、与厂家签订的购膜合同。</w:t>
      </w:r>
    </w:p>
    <w:p w14:paraId="175D10FB">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5、地膜生产厂家第三方合格的CMA检验报告。</w:t>
      </w:r>
    </w:p>
    <w:p w14:paraId="0D541DDE">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6、补贴对象身份证、“一卡通”复印件。</w:t>
      </w:r>
    </w:p>
    <w:p w14:paraId="5427ADB9">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7、乡镇验收单。</w:t>
      </w:r>
    </w:p>
    <w:p w14:paraId="3244960D">
      <w:pPr>
        <w:pStyle w:val="2"/>
        <w:rPr>
          <w:rFonts w:hint="default" w:ascii="Times New Roman" w:hAnsi="Times New Roman" w:cs="Times New Roman"/>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各乡镇核验核查农户与种植大户使用的农膜和农作物面积、并在村队（社区）及乡镇公示审核无误后向县农业农村局申报补助资金申请，由县农业农村局会同县财政局等核验审核通过后，将把加厚高强度地膜补助通过“一卡通”发放到农户账户里。</w:t>
      </w:r>
    </w:p>
    <w:p w14:paraId="7E00C731">
      <w:pPr>
        <w:pStyle w:val="2"/>
        <w:rPr>
          <w:rFonts w:hint="default" w:ascii="Times New Roman" w:hAnsi="Times New Roman" w:cs="Times New Roman"/>
          <w:lang w:val="en-US" w:eastAsia="zh-CN"/>
        </w:rPr>
      </w:pPr>
    </w:p>
    <w:p w14:paraId="40163B29">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仿宋_GB2312" w:cs="Times New Roman"/>
          <w:bCs/>
          <w:sz w:val="32"/>
          <w:szCs w:val="32"/>
        </w:rPr>
      </w:pPr>
    </w:p>
    <w:p w14:paraId="2A89F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2F0410A1">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p>
    <w:p w14:paraId="7BA9C5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和布克赛尔县2026年使用加厚高强地膜农作物面积及补助资金分配表</w:t>
      </w:r>
    </w:p>
    <w:p w14:paraId="7FFA8085">
      <w:pPr>
        <w:pStyle w:val="5"/>
        <w:rPr>
          <w:rFonts w:hint="default"/>
          <w:lang w:val="en-US" w:eastAsia="zh-CN"/>
        </w:rPr>
      </w:pPr>
    </w:p>
    <w:tbl>
      <w:tblPr>
        <w:tblStyle w:val="10"/>
        <w:tblW w:w="8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150"/>
        <w:gridCol w:w="2038"/>
        <w:gridCol w:w="2212"/>
      </w:tblGrid>
      <w:tr w14:paraId="760F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67" w:type="dxa"/>
            <w:noWrap w:val="0"/>
            <w:vAlign w:val="top"/>
          </w:tcPr>
          <w:p w14:paraId="1F27D4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序号</w:t>
            </w:r>
          </w:p>
        </w:tc>
        <w:tc>
          <w:tcPr>
            <w:tcW w:w="3150" w:type="dxa"/>
            <w:noWrap w:val="0"/>
            <w:vAlign w:val="top"/>
          </w:tcPr>
          <w:p w14:paraId="061193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乡镇（场）</w:t>
            </w:r>
          </w:p>
        </w:tc>
        <w:tc>
          <w:tcPr>
            <w:tcW w:w="2038" w:type="dxa"/>
            <w:noWrap w:val="0"/>
            <w:vAlign w:val="top"/>
          </w:tcPr>
          <w:p w14:paraId="2DA72D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补助面积（亩）</w:t>
            </w:r>
          </w:p>
        </w:tc>
        <w:tc>
          <w:tcPr>
            <w:tcW w:w="2212" w:type="dxa"/>
            <w:noWrap w:val="0"/>
            <w:vAlign w:val="top"/>
          </w:tcPr>
          <w:p w14:paraId="647CA8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补助资金（万元）</w:t>
            </w:r>
          </w:p>
        </w:tc>
      </w:tr>
      <w:tr w14:paraId="2A4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7" w:type="dxa"/>
            <w:noWrap w:val="0"/>
            <w:vAlign w:val="top"/>
          </w:tcPr>
          <w:p w14:paraId="6BEC875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3150" w:type="dxa"/>
            <w:noWrap w:val="0"/>
            <w:vAlign w:val="top"/>
          </w:tcPr>
          <w:p w14:paraId="3B7FB11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查和特乡</w:t>
            </w:r>
          </w:p>
        </w:tc>
        <w:tc>
          <w:tcPr>
            <w:tcW w:w="2038" w:type="dxa"/>
            <w:noWrap w:val="0"/>
            <w:vAlign w:val="top"/>
          </w:tcPr>
          <w:p w14:paraId="3B9F24E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43100</w:t>
            </w:r>
          </w:p>
        </w:tc>
        <w:tc>
          <w:tcPr>
            <w:tcW w:w="2212" w:type="dxa"/>
            <w:noWrap w:val="0"/>
            <w:vAlign w:val="top"/>
          </w:tcPr>
          <w:p w14:paraId="6B6F0BC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vertAlign w:val="baseline"/>
                <w:lang w:val="en-US" w:eastAsia="zh-CN"/>
                <w14:textFill>
                  <w14:solidFill>
                    <w14:schemeClr w14:val="tx1"/>
                  </w14:solidFill>
                </w14:textFill>
              </w:rPr>
              <w:t>103.44</w:t>
            </w:r>
          </w:p>
        </w:tc>
      </w:tr>
      <w:tr w14:paraId="7D95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67" w:type="dxa"/>
            <w:noWrap w:val="0"/>
            <w:vAlign w:val="top"/>
          </w:tcPr>
          <w:p w14:paraId="659342B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3150" w:type="dxa"/>
            <w:noWrap w:val="0"/>
            <w:vAlign w:val="top"/>
          </w:tcPr>
          <w:p w14:paraId="48DF453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夏孜盖乡</w:t>
            </w:r>
          </w:p>
        </w:tc>
        <w:tc>
          <w:tcPr>
            <w:tcW w:w="2038" w:type="dxa"/>
            <w:noWrap w:val="0"/>
            <w:vAlign w:val="top"/>
          </w:tcPr>
          <w:p w14:paraId="65D726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13300</w:t>
            </w:r>
          </w:p>
        </w:tc>
        <w:tc>
          <w:tcPr>
            <w:tcW w:w="2212" w:type="dxa"/>
            <w:noWrap w:val="0"/>
            <w:vAlign w:val="top"/>
          </w:tcPr>
          <w:p w14:paraId="46936C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31.92</w:t>
            </w:r>
          </w:p>
        </w:tc>
      </w:tr>
      <w:tr w14:paraId="0355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 w:type="dxa"/>
            <w:noWrap w:val="0"/>
            <w:vAlign w:val="top"/>
          </w:tcPr>
          <w:p w14:paraId="37E253C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3150" w:type="dxa"/>
            <w:noWrap w:val="0"/>
            <w:vAlign w:val="top"/>
          </w:tcPr>
          <w:p w14:paraId="4B96907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和什托洛盖镇</w:t>
            </w:r>
          </w:p>
        </w:tc>
        <w:tc>
          <w:tcPr>
            <w:tcW w:w="2038" w:type="dxa"/>
            <w:noWrap w:val="0"/>
            <w:vAlign w:val="top"/>
          </w:tcPr>
          <w:p w14:paraId="0BECC8E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6325.89</w:t>
            </w:r>
          </w:p>
        </w:tc>
        <w:tc>
          <w:tcPr>
            <w:tcW w:w="2212" w:type="dxa"/>
            <w:noWrap w:val="0"/>
            <w:vAlign w:val="top"/>
          </w:tcPr>
          <w:p w14:paraId="3B5AF88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vertAlign w:val="baseline"/>
                <w:lang w:val="en-US" w:eastAsia="zh-CN"/>
                <w14:textFill>
                  <w14:solidFill>
                    <w14:schemeClr w14:val="tx1"/>
                  </w14:solidFill>
                </w14:textFill>
              </w:rPr>
              <w:t>15.182136</w:t>
            </w:r>
          </w:p>
        </w:tc>
      </w:tr>
      <w:tr w14:paraId="7541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67" w:type="dxa"/>
            <w:noWrap w:val="0"/>
            <w:vAlign w:val="top"/>
          </w:tcPr>
          <w:p w14:paraId="1BF58E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3150" w:type="dxa"/>
            <w:noWrap w:val="0"/>
            <w:vAlign w:val="top"/>
          </w:tcPr>
          <w:p w14:paraId="720D98C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查干库勒乡</w:t>
            </w:r>
          </w:p>
        </w:tc>
        <w:tc>
          <w:tcPr>
            <w:tcW w:w="2038" w:type="dxa"/>
            <w:noWrap w:val="0"/>
            <w:vAlign w:val="top"/>
          </w:tcPr>
          <w:p w14:paraId="38027DA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5290</w:t>
            </w:r>
          </w:p>
        </w:tc>
        <w:tc>
          <w:tcPr>
            <w:tcW w:w="2212" w:type="dxa"/>
            <w:noWrap w:val="0"/>
            <w:vAlign w:val="top"/>
          </w:tcPr>
          <w:p w14:paraId="359C93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vertAlign w:val="baseline"/>
                <w:lang w:val="en-US" w:eastAsia="zh-CN"/>
                <w14:textFill>
                  <w14:solidFill>
                    <w14:schemeClr w14:val="tx1"/>
                  </w14:solidFill>
                </w14:textFill>
              </w:rPr>
              <w:t>12.696</w:t>
            </w:r>
          </w:p>
        </w:tc>
      </w:tr>
      <w:tr w14:paraId="5142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67" w:type="dxa"/>
            <w:noWrap w:val="0"/>
            <w:vAlign w:val="top"/>
          </w:tcPr>
          <w:p w14:paraId="69CBD14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5</w:t>
            </w:r>
          </w:p>
        </w:tc>
        <w:tc>
          <w:tcPr>
            <w:tcW w:w="3150" w:type="dxa"/>
            <w:noWrap w:val="0"/>
            <w:vAlign w:val="top"/>
          </w:tcPr>
          <w:p w14:paraId="0FCE3DE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铁布肯乌散乡</w:t>
            </w:r>
          </w:p>
        </w:tc>
        <w:tc>
          <w:tcPr>
            <w:tcW w:w="2038" w:type="dxa"/>
            <w:noWrap w:val="0"/>
            <w:vAlign w:val="top"/>
          </w:tcPr>
          <w:p w14:paraId="0DEEB3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6330</w:t>
            </w:r>
          </w:p>
        </w:tc>
        <w:tc>
          <w:tcPr>
            <w:tcW w:w="2212" w:type="dxa"/>
            <w:noWrap w:val="0"/>
            <w:vAlign w:val="top"/>
          </w:tcPr>
          <w:p w14:paraId="4360F12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vertAlign w:val="baseline"/>
                <w:lang w:val="en-US" w:eastAsia="zh-CN"/>
                <w14:textFill>
                  <w14:solidFill>
                    <w14:schemeClr w14:val="tx1"/>
                  </w14:solidFill>
                </w14:textFill>
              </w:rPr>
              <w:t>15.192</w:t>
            </w:r>
          </w:p>
        </w:tc>
      </w:tr>
      <w:tr w14:paraId="7E47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7" w:type="dxa"/>
            <w:noWrap w:val="0"/>
            <w:vAlign w:val="top"/>
          </w:tcPr>
          <w:p w14:paraId="30D6CFE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6</w:t>
            </w:r>
          </w:p>
        </w:tc>
        <w:tc>
          <w:tcPr>
            <w:tcW w:w="3150" w:type="dxa"/>
            <w:noWrap w:val="0"/>
            <w:vAlign w:val="top"/>
          </w:tcPr>
          <w:p w14:paraId="2AFFBD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巴音傲瓦乡</w:t>
            </w:r>
          </w:p>
        </w:tc>
        <w:tc>
          <w:tcPr>
            <w:tcW w:w="2038" w:type="dxa"/>
            <w:noWrap w:val="0"/>
            <w:vAlign w:val="top"/>
          </w:tcPr>
          <w:p w14:paraId="3AA8EC3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6630</w:t>
            </w:r>
          </w:p>
        </w:tc>
        <w:tc>
          <w:tcPr>
            <w:tcW w:w="2212" w:type="dxa"/>
            <w:noWrap w:val="0"/>
            <w:vAlign w:val="top"/>
          </w:tcPr>
          <w:p w14:paraId="104E3C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vertAlign w:val="baseline"/>
                <w:lang w:val="en-US" w:eastAsia="zh-CN"/>
                <w14:textFill>
                  <w14:solidFill>
                    <w14:schemeClr w14:val="tx1"/>
                  </w14:solidFill>
                </w14:textFill>
              </w:rPr>
              <w:t>15.912</w:t>
            </w:r>
          </w:p>
        </w:tc>
      </w:tr>
      <w:tr w14:paraId="0CDF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67" w:type="dxa"/>
            <w:noWrap w:val="0"/>
            <w:vAlign w:val="top"/>
          </w:tcPr>
          <w:p w14:paraId="17F84FD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7</w:t>
            </w:r>
          </w:p>
        </w:tc>
        <w:tc>
          <w:tcPr>
            <w:tcW w:w="3150" w:type="dxa"/>
            <w:noWrap w:val="0"/>
            <w:vAlign w:val="top"/>
          </w:tcPr>
          <w:p w14:paraId="02CA419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莫特格乡</w:t>
            </w:r>
          </w:p>
        </w:tc>
        <w:tc>
          <w:tcPr>
            <w:tcW w:w="2038" w:type="dxa"/>
            <w:noWrap w:val="0"/>
            <w:vAlign w:val="top"/>
          </w:tcPr>
          <w:p w14:paraId="0C8C03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1467</w:t>
            </w:r>
          </w:p>
        </w:tc>
        <w:tc>
          <w:tcPr>
            <w:tcW w:w="2212" w:type="dxa"/>
            <w:noWrap w:val="0"/>
            <w:vAlign w:val="top"/>
          </w:tcPr>
          <w:p w14:paraId="0EFE44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3.5208</w:t>
            </w:r>
          </w:p>
        </w:tc>
      </w:tr>
      <w:tr w14:paraId="207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7" w:type="dxa"/>
            <w:noWrap w:val="0"/>
            <w:vAlign w:val="top"/>
          </w:tcPr>
          <w:p w14:paraId="4795805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p>
        </w:tc>
        <w:tc>
          <w:tcPr>
            <w:tcW w:w="3150" w:type="dxa"/>
            <w:noWrap w:val="0"/>
            <w:vAlign w:val="top"/>
          </w:tcPr>
          <w:p w14:paraId="36F294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合计</w:t>
            </w:r>
          </w:p>
        </w:tc>
        <w:tc>
          <w:tcPr>
            <w:tcW w:w="2038" w:type="dxa"/>
            <w:noWrap w:val="0"/>
            <w:vAlign w:val="top"/>
          </w:tcPr>
          <w:p w14:paraId="1CF7121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82442.8</w:t>
            </w:r>
            <w:r>
              <w:rPr>
                <w:rFonts w:hint="eastAsia" w:ascii="Times New Roman" w:hAnsi="Times New Roman" w:eastAsia="仿宋_GB2312" w:cs="Times New Roman"/>
                <w:sz w:val="28"/>
                <w:szCs w:val="28"/>
                <w:vertAlign w:val="baseline"/>
                <w:lang w:val="en-US" w:eastAsia="zh-CN"/>
              </w:rPr>
              <w:t>9</w:t>
            </w:r>
          </w:p>
        </w:tc>
        <w:tc>
          <w:tcPr>
            <w:tcW w:w="2212" w:type="dxa"/>
            <w:noWrap w:val="0"/>
            <w:vAlign w:val="top"/>
          </w:tcPr>
          <w:p w14:paraId="3491BE8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197.86</w:t>
            </w:r>
            <w:r>
              <w:rPr>
                <w:rFonts w:hint="eastAsia" w:ascii="Times New Roman" w:hAnsi="Times New Roman" w:eastAsia="仿宋_GB2312" w:cs="Times New Roman"/>
                <w:color w:val="000000" w:themeColor="text1"/>
                <w:sz w:val="28"/>
                <w:szCs w:val="28"/>
                <w:vertAlign w:val="baseline"/>
                <w:lang w:val="en-US" w:eastAsia="zh-CN"/>
                <w14:textFill>
                  <w14:solidFill>
                    <w14:schemeClr w14:val="tx1"/>
                  </w14:solidFill>
                </w14:textFill>
              </w:rPr>
              <w:t>2936</w:t>
            </w:r>
          </w:p>
        </w:tc>
      </w:tr>
    </w:tbl>
    <w:p w14:paraId="0CA083AA">
      <w:pPr>
        <w:rPr>
          <w:rFonts w:hint="default" w:ascii="Times New Roman" w:hAnsi="Times New Roman" w:eastAsia="仿宋_GB2312" w:cs="Times New Roman"/>
          <w:sz w:val="28"/>
          <w:szCs w:val="28"/>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仿宋_GB2312" w:cs="Times New Roman"/>
          <w:sz w:val="28"/>
          <w:szCs w:val="28"/>
          <w:lang w:val="en-US" w:eastAsia="zh-CN"/>
        </w:rPr>
        <w:t>注：</w:t>
      </w:r>
      <w:r>
        <w:rPr>
          <w:rFonts w:hint="eastAsia" w:ascii="Times New Roman" w:hAnsi="Times New Roman" w:eastAsia="仿宋_GB2312" w:cs="Times New Roman"/>
          <w:sz w:val="28"/>
          <w:szCs w:val="28"/>
          <w:lang w:val="en-US" w:eastAsia="zh-CN"/>
        </w:rPr>
        <w:t>可使用具有与0.015毫米同等强度的0.012毫米加厚高强度地膜。</w:t>
      </w:r>
    </w:p>
    <w:p w14:paraId="5B7895E1">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附件3</w:t>
      </w:r>
    </w:p>
    <w:tbl>
      <w:tblPr>
        <w:tblStyle w:val="9"/>
        <w:tblW w:w="140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168"/>
        <w:gridCol w:w="990"/>
        <w:gridCol w:w="543"/>
        <w:gridCol w:w="554"/>
        <w:gridCol w:w="972"/>
        <w:gridCol w:w="137"/>
        <w:gridCol w:w="877"/>
        <w:gridCol w:w="384"/>
        <w:gridCol w:w="630"/>
        <w:gridCol w:w="649"/>
        <w:gridCol w:w="334"/>
        <w:gridCol w:w="993"/>
        <w:gridCol w:w="519"/>
        <w:gridCol w:w="278"/>
        <w:gridCol w:w="721"/>
        <w:gridCol w:w="398"/>
        <w:gridCol w:w="324"/>
        <w:gridCol w:w="905"/>
        <w:gridCol w:w="304"/>
        <w:gridCol w:w="658"/>
        <w:gridCol w:w="875"/>
        <w:gridCol w:w="98"/>
        <w:gridCol w:w="810"/>
        <w:gridCol w:w="182"/>
      </w:tblGrid>
      <w:tr w14:paraId="05F6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4042" w:type="dxa"/>
            <w:gridSpan w:val="25"/>
            <w:tcBorders>
              <w:top w:val="single" w:color="000000" w:sz="4" w:space="0"/>
              <w:left w:val="single" w:color="000000" w:sz="4" w:space="0"/>
              <w:bottom w:val="single" w:color="000000" w:sz="4" w:space="0"/>
              <w:right w:val="single" w:color="000000" w:sz="4" w:space="0"/>
            </w:tcBorders>
            <w:noWrap/>
            <w:vAlign w:val="center"/>
          </w:tcPr>
          <w:p w14:paraId="3BD8785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r>
              <w:rPr>
                <w:rFonts w:hint="default" w:ascii="Times New Roman" w:hAnsi="Times New Roman" w:eastAsia="黑体" w:cs="Times New Roman"/>
                <w:i w:val="0"/>
                <w:iCs w:val="0"/>
                <w:color w:val="000000"/>
                <w:kern w:val="0"/>
                <w:sz w:val="24"/>
                <w:szCs w:val="24"/>
                <w:u w:val="none"/>
                <w:lang w:val="en-US" w:eastAsia="zh-CN" w:bidi="ar"/>
              </w:rPr>
              <w:t xml:space="preserve">  地膜使用台账</w:t>
            </w:r>
            <w:r>
              <w:rPr>
                <w:rFonts w:hint="default" w:ascii="Times New Roman" w:hAnsi="Times New Roman" w:eastAsia="黑体" w:cs="Times New Roman"/>
                <w:i w:val="0"/>
                <w:iCs w:val="0"/>
                <w:color w:val="000000"/>
                <w:kern w:val="0"/>
                <w:sz w:val="18"/>
                <w:szCs w:val="18"/>
                <w:u w:val="none"/>
                <w:lang w:val="en-US" w:eastAsia="zh-CN" w:bidi="ar"/>
              </w:rPr>
              <w:t xml:space="preserve">                                                 </w:t>
            </w:r>
            <w:r>
              <w:rPr>
                <w:rFonts w:hint="default" w:ascii="Times New Roman" w:hAnsi="Times New Roman" w:eastAsia="黑体" w:cs="Times New Roman"/>
                <w:i w:val="0"/>
                <w:iCs w:val="0"/>
                <w:color w:val="000000"/>
                <w:kern w:val="0"/>
                <w:sz w:val="18"/>
                <w:szCs w:val="18"/>
                <w:u w:val="single"/>
                <w:lang w:val="en-US" w:eastAsia="zh-CN" w:bidi="ar"/>
              </w:rPr>
              <w:t xml:space="preserve">      </w:t>
            </w:r>
            <w:r>
              <w:rPr>
                <w:rFonts w:hint="default" w:ascii="Times New Roman" w:hAnsi="Times New Roman" w:eastAsia="黑体" w:cs="Times New Roman"/>
                <w:i w:val="0"/>
                <w:iCs w:val="0"/>
                <w:color w:val="000000"/>
                <w:kern w:val="0"/>
                <w:sz w:val="18"/>
                <w:szCs w:val="18"/>
                <w:u w:val="none"/>
                <w:lang w:val="en-US" w:eastAsia="zh-CN" w:bidi="ar"/>
              </w:rPr>
              <w:t>月</w:t>
            </w:r>
          </w:p>
        </w:tc>
      </w:tr>
      <w:tr w14:paraId="428A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39" w:type="dxa"/>
            <w:vMerge w:val="restart"/>
            <w:tcBorders>
              <w:top w:val="single" w:color="000000" w:sz="4" w:space="0"/>
              <w:left w:val="single" w:color="000000" w:sz="4" w:space="0"/>
              <w:bottom w:val="single" w:color="000000" w:sz="4" w:space="0"/>
              <w:right w:val="single" w:color="000000" w:sz="4" w:space="0"/>
            </w:tcBorders>
            <w:noWrap/>
            <w:vAlign w:val="center"/>
          </w:tcPr>
          <w:p w14:paraId="2462FEF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序号</w:t>
            </w:r>
          </w:p>
        </w:tc>
        <w:tc>
          <w:tcPr>
            <w:tcW w:w="115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0674521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使用日期</w:t>
            </w:r>
          </w:p>
        </w:tc>
        <w:tc>
          <w:tcPr>
            <w:tcW w:w="10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64FDC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（购买人）</w:t>
            </w:r>
          </w:p>
        </w:tc>
        <w:tc>
          <w:tcPr>
            <w:tcW w:w="972" w:type="dxa"/>
            <w:vMerge w:val="restart"/>
            <w:tcBorders>
              <w:top w:val="single" w:color="000000" w:sz="4" w:space="0"/>
              <w:left w:val="single" w:color="000000" w:sz="4" w:space="0"/>
              <w:bottom w:val="single" w:color="000000" w:sz="4" w:space="0"/>
              <w:right w:val="single" w:color="000000" w:sz="4" w:space="0"/>
            </w:tcBorders>
            <w:noWrap/>
            <w:vAlign w:val="center"/>
          </w:tcPr>
          <w:p w14:paraId="72C61A5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联系方式</w:t>
            </w:r>
          </w:p>
        </w:tc>
        <w:tc>
          <w:tcPr>
            <w:tcW w:w="101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35836B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地膜名称</w:t>
            </w:r>
          </w:p>
        </w:tc>
        <w:tc>
          <w:tcPr>
            <w:tcW w:w="101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A567C7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使用地点</w:t>
            </w:r>
          </w:p>
        </w:tc>
        <w:tc>
          <w:tcPr>
            <w:tcW w:w="98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3CCCF89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使用作物</w:t>
            </w:r>
          </w:p>
        </w:tc>
        <w:tc>
          <w:tcPr>
            <w:tcW w:w="9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A532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使用面积（亩）</w:t>
            </w:r>
          </w:p>
        </w:tc>
        <w:tc>
          <w:tcPr>
            <w:tcW w:w="7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9A5D8E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使用量（公斤）</w:t>
            </w:r>
          </w:p>
        </w:tc>
        <w:tc>
          <w:tcPr>
            <w:tcW w:w="1443" w:type="dxa"/>
            <w:gridSpan w:val="3"/>
            <w:tcBorders>
              <w:top w:val="single" w:color="000000" w:sz="4" w:space="0"/>
              <w:left w:val="single" w:color="000000" w:sz="4" w:space="0"/>
              <w:bottom w:val="single" w:color="000000" w:sz="4" w:space="0"/>
              <w:right w:val="single" w:color="000000" w:sz="4" w:space="0"/>
            </w:tcBorders>
            <w:noWrap/>
            <w:vAlign w:val="center"/>
          </w:tcPr>
          <w:p w14:paraId="1D543C8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规格</w:t>
            </w:r>
          </w:p>
        </w:tc>
        <w:tc>
          <w:tcPr>
            <w:tcW w:w="9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2D5FC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品牌（生产企业）</w:t>
            </w:r>
          </w:p>
        </w:tc>
        <w:tc>
          <w:tcPr>
            <w:tcW w:w="96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7F34A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执行标准</w:t>
            </w:r>
          </w:p>
        </w:tc>
        <w:tc>
          <w:tcPr>
            <w:tcW w:w="97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52A6DE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生产日期</w:t>
            </w:r>
          </w:p>
        </w:tc>
        <w:tc>
          <w:tcPr>
            <w:tcW w:w="99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FAC59D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销售单位（门店网点）</w:t>
            </w:r>
          </w:p>
        </w:tc>
      </w:tr>
      <w:tr w14:paraId="46B4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0D966EB6">
            <w:pPr>
              <w:jc w:val="center"/>
              <w:rPr>
                <w:rFonts w:hint="default" w:ascii="Times New Roman" w:hAnsi="Times New Roman" w:eastAsia="黑体" w:cs="Times New Roman"/>
                <w:i w:val="0"/>
                <w:iCs w:val="0"/>
                <w:color w:val="000000"/>
                <w:sz w:val="18"/>
                <w:szCs w:val="18"/>
                <w:u w:val="none"/>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DD38148">
            <w:pPr>
              <w:jc w:val="center"/>
              <w:rPr>
                <w:rFonts w:hint="default" w:ascii="Times New Roman" w:hAnsi="Times New Roman" w:eastAsia="黑体" w:cs="Times New Roman"/>
                <w:i w:val="0"/>
                <w:iCs w:val="0"/>
                <w:color w:val="000000"/>
                <w:sz w:val="18"/>
                <w:szCs w:val="18"/>
                <w:u w:val="none"/>
              </w:rPr>
            </w:pPr>
          </w:p>
        </w:tc>
        <w:tc>
          <w:tcPr>
            <w:tcW w:w="10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248A4C">
            <w:pPr>
              <w:jc w:val="center"/>
              <w:rPr>
                <w:rFonts w:hint="default" w:ascii="Times New Roman" w:hAnsi="Times New Roman" w:eastAsia="黑体" w:cs="Times New Roman"/>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14ECE202">
            <w:pPr>
              <w:jc w:val="center"/>
              <w:rPr>
                <w:rFonts w:hint="default" w:ascii="Times New Roman" w:hAnsi="Times New Roman" w:eastAsia="黑体" w:cs="Times New Roman"/>
                <w:i w:val="0"/>
                <w:iCs w:val="0"/>
                <w:color w:val="000000"/>
                <w:sz w:val="18"/>
                <w:szCs w:val="18"/>
                <w:u w:val="none"/>
              </w:rPr>
            </w:pPr>
          </w:p>
        </w:tc>
        <w:tc>
          <w:tcPr>
            <w:tcW w:w="101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D04CC7C">
            <w:pPr>
              <w:jc w:val="center"/>
              <w:rPr>
                <w:rFonts w:hint="default" w:ascii="Times New Roman" w:hAnsi="Times New Roman" w:eastAsia="黑体" w:cs="Times New Roman"/>
                <w:i w:val="0"/>
                <w:iCs w:val="0"/>
                <w:color w:val="000000"/>
                <w:sz w:val="18"/>
                <w:szCs w:val="18"/>
                <w:u w:val="none"/>
              </w:rPr>
            </w:pPr>
          </w:p>
        </w:tc>
        <w:tc>
          <w:tcPr>
            <w:tcW w:w="101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6F3C678">
            <w:pPr>
              <w:jc w:val="center"/>
              <w:rPr>
                <w:rFonts w:hint="default" w:ascii="Times New Roman" w:hAnsi="Times New Roman" w:eastAsia="黑体" w:cs="Times New Roman"/>
                <w:i w:val="0"/>
                <w:iCs w:val="0"/>
                <w:color w:val="000000"/>
                <w:sz w:val="18"/>
                <w:szCs w:val="18"/>
                <w:u w:val="none"/>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A20B672">
            <w:pPr>
              <w:jc w:val="center"/>
              <w:rPr>
                <w:rFonts w:hint="default" w:ascii="Times New Roman" w:hAnsi="Times New Roman" w:eastAsia="黑体" w:cs="Times New Roman"/>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E000D">
            <w:pPr>
              <w:jc w:val="center"/>
              <w:rPr>
                <w:rFonts w:hint="default" w:ascii="Times New Roman" w:hAnsi="Times New Roman" w:eastAsia="黑体" w:cs="Times New Roman"/>
                <w:i w:val="0"/>
                <w:iCs w:val="0"/>
                <w:color w:val="000000"/>
                <w:sz w:val="18"/>
                <w:szCs w:val="18"/>
                <w:u w:val="none"/>
              </w:rPr>
            </w:pPr>
          </w:p>
        </w:tc>
        <w:tc>
          <w:tcPr>
            <w:tcW w:w="7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CD2A0D">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DA3255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厚度（mm）</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14:paraId="2C891D3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宽度（mm）</w:t>
            </w:r>
          </w:p>
        </w:tc>
        <w:tc>
          <w:tcPr>
            <w:tcW w:w="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6C028">
            <w:pPr>
              <w:jc w:val="center"/>
              <w:rPr>
                <w:rFonts w:hint="default" w:ascii="Times New Roman" w:hAnsi="Times New Roman" w:eastAsia="黑体" w:cs="Times New Roman"/>
                <w:i w:val="0"/>
                <w:iCs w:val="0"/>
                <w:color w:val="000000"/>
                <w:sz w:val="18"/>
                <w:szCs w:val="18"/>
                <w:u w:val="none"/>
              </w:rPr>
            </w:pPr>
          </w:p>
        </w:tc>
        <w:tc>
          <w:tcPr>
            <w:tcW w:w="96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40C999">
            <w:pPr>
              <w:jc w:val="center"/>
              <w:rPr>
                <w:rFonts w:hint="default" w:ascii="Times New Roman" w:hAnsi="Times New Roman" w:eastAsia="黑体" w:cs="Times New Roman"/>
                <w:i w:val="0"/>
                <w:iCs w:val="0"/>
                <w:color w:val="000000"/>
                <w:sz w:val="18"/>
                <w:szCs w:val="18"/>
                <w:u w:val="none"/>
              </w:rPr>
            </w:pPr>
          </w:p>
        </w:tc>
        <w:tc>
          <w:tcPr>
            <w:tcW w:w="97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A641D3E">
            <w:pPr>
              <w:jc w:val="center"/>
              <w:rPr>
                <w:rFonts w:hint="default" w:ascii="Times New Roman" w:hAnsi="Times New Roman" w:eastAsia="黑体" w:cs="Times New Roman"/>
                <w:i w:val="0"/>
                <w:iCs w:val="0"/>
                <w:color w:val="000000"/>
                <w:sz w:val="18"/>
                <w:szCs w:val="18"/>
                <w:u w:val="none"/>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11F506">
            <w:pPr>
              <w:jc w:val="center"/>
              <w:rPr>
                <w:rFonts w:hint="default" w:ascii="Times New Roman" w:hAnsi="Times New Roman" w:eastAsia="黑体" w:cs="Times New Roman"/>
                <w:i w:val="0"/>
                <w:iCs w:val="0"/>
                <w:color w:val="000000"/>
                <w:sz w:val="18"/>
                <w:szCs w:val="18"/>
                <w:u w:val="none"/>
              </w:rPr>
            </w:pPr>
          </w:p>
        </w:tc>
      </w:tr>
      <w:tr w14:paraId="6B6E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BECE97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67934D99">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4D5498E9">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3F92C719">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37B89F5F">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6DBD629D">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51CDF509">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2984EB7">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7D50950F">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61156C01">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3EE81530">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7BA58066">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2507EBD2">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2722CE33">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21241A18">
            <w:pPr>
              <w:jc w:val="center"/>
              <w:rPr>
                <w:rFonts w:hint="default" w:ascii="Times New Roman" w:hAnsi="Times New Roman" w:eastAsia="黑体" w:cs="Times New Roman"/>
                <w:i w:val="0"/>
                <w:iCs w:val="0"/>
                <w:color w:val="000000"/>
                <w:sz w:val="18"/>
                <w:szCs w:val="18"/>
                <w:u w:val="none"/>
              </w:rPr>
            </w:pPr>
          </w:p>
        </w:tc>
      </w:tr>
      <w:tr w14:paraId="111F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26C261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134283B6">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74749E1C">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1061C8B3">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6B57DA30">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7409C99A">
            <w:pPr>
              <w:jc w:val="center"/>
              <w:rPr>
                <w:rFonts w:hint="default" w:ascii="Times New Roman" w:hAnsi="Times New Roman" w:eastAsia="黑体" w:cs="Times New Roman"/>
                <w:i w:val="0"/>
                <w:iCs w:val="0"/>
                <w:color w:val="FF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47E3B19C">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0CB01D5">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3225902E">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431A8BD4">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0026E87A">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4370BE6C">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37A6701C">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174E9D25">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40C31507">
            <w:pPr>
              <w:jc w:val="center"/>
              <w:rPr>
                <w:rFonts w:hint="default" w:ascii="Times New Roman" w:hAnsi="Times New Roman" w:eastAsia="黑体" w:cs="Times New Roman"/>
                <w:i w:val="0"/>
                <w:iCs w:val="0"/>
                <w:color w:val="000000"/>
                <w:sz w:val="18"/>
                <w:szCs w:val="18"/>
                <w:u w:val="none"/>
              </w:rPr>
            </w:pPr>
          </w:p>
        </w:tc>
      </w:tr>
      <w:tr w14:paraId="6937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5FABCE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326475E3">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4D263777">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50421493">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422C91BE">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27EA5FA3">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4B462D64">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37A9A14">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2C71924A">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6CC03A04">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499E1393">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618EE86F">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341E5D4E">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224C3ED6">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575FB1F3">
            <w:pPr>
              <w:jc w:val="center"/>
              <w:rPr>
                <w:rFonts w:hint="default" w:ascii="Times New Roman" w:hAnsi="Times New Roman" w:eastAsia="黑体" w:cs="Times New Roman"/>
                <w:i w:val="0"/>
                <w:iCs w:val="0"/>
                <w:color w:val="000000"/>
                <w:sz w:val="18"/>
                <w:szCs w:val="18"/>
                <w:u w:val="none"/>
              </w:rPr>
            </w:pPr>
          </w:p>
        </w:tc>
      </w:tr>
      <w:tr w14:paraId="727B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FD7765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58D62268">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5496B0C5">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78420CF6">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441CFA29">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7FC42BCF">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375A938C">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5D42555">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24E2193F">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577636C7">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32E523AE">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1E4ACF14">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5716E62C">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4B3ECC7A">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5FDB3FA5">
            <w:pPr>
              <w:jc w:val="center"/>
              <w:rPr>
                <w:rFonts w:hint="default" w:ascii="Times New Roman" w:hAnsi="Times New Roman" w:eastAsia="黑体" w:cs="Times New Roman"/>
                <w:i w:val="0"/>
                <w:iCs w:val="0"/>
                <w:color w:val="000000"/>
                <w:sz w:val="18"/>
                <w:szCs w:val="18"/>
                <w:u w:val="none"/>
              </w:rPr>
            </w:pPr>
          </w:p>
        </w:tc>
      </w:tr>
      <w:tr w14:paraId="525B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A84029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47788525">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71C56BEC">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39B05AE0">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601AE9AC">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59BE2D1C">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3702E0C3">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A4D5148">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217250B6">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3A4C6DE4">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1C67FE3A">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1266129C">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1B1D5E3C">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73DAC651">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0C230F73">
            <w:pPr>
              <w:jc w:val="center"/>
              <w:rPr>
                <w:rFonts w:hint="default" w:ascii="Times New Roman" w:hAnsi="Times New Roman" w:eastAsia="黑体" w:cs="Times New Roman"/>
                <w:i w:val="0"/>
                <w:iCs w:val="0"/>
                <w:color w:val="000000"/>
                <w:sz w:val="18"/>
                <w:szCs w:val="18"/>
                <w:u w:val="none"/>
              </w:rPr>
            </w:pPr>
          </w:p>
        </w:tc>
      </w:tr>
      <w:tr w14:paraId="28A5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3E156F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6</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4ADE7832">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69054362">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7C62FF67">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343D37B0">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3C0612F1">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47E2405A">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3FD1359">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7189A40E">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12F7D2C9">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66C36717">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3EABEB2">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149C19A4">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5907FED0">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39DA38CB">
            <w:pPr>
              <w:jc w:val="center"/>
              <w:rPr>
                <w:rFonts w:hint="default" w:ascii="Times New Roman" w:hAnsi="Times New Roman" w:eastAsia="黑体" w:cs="Times New Roman"/>
                <w:i w:val="0"/>
                <w:iCs w:val="0"/>
                <w:color w:val="000000"/>
                <w:sz w:val="18"/>
                <w:szCs w:val="18"/>
                <w:u w:val="none"/>
              </w:rPr>
            </w:pPr>
          </w:p>
        </w:tc>
      </w:tr>
      <w:tr w14:paraId="37D4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D62ED5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7</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6A0EDE33">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43416788">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2399639C">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22069FC0">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085F0163">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52539125">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E96AE47">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63C7179D">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3E5FEB43">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711CFC83">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91FAB07">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4A26E0C0">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183AC46C">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64631F9E">
            <w:pPr>
              <w:jc w:val="center"/>
              <w:rPr>
                <w:rFonts w:hint="default" w:ascii="Times New Roman" w:hAnsi="Times New Roman" w:eastAsia="黑体" w:cs="Times New Roman"/>
                <w:i w:val="0"/>
                <w:iCs w:val="0"/>
                <w:color w:val="000000"/>
                <w:sz w:val="18"/>
                <w:szCs w:val="18"/>
                <w:u w:val="none"/>
              </w:rPr>
            </w:pPr>
          </w:p>
        </w:tc>
      </w:tr>
      <w:tr w14:paraId="4986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977" w:type="dxa"/>
            <w:gridSpan w:val="12"/>
            <w:tcBorders>
              <w:top w:val="nil"/>
              <w:left w:val="nil"/>
              <w:bottom w:val="nil"/>
              <w:right w:val="nil"/>
            </w:tcBorders>
            <w:noWrap/>
            <w:vAlign w:val="center"/>
          </w:tcPr>
          <w:p w14:paraId="07EE7093">
            <w:pP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乡镇（签字、盖章）：</w:t>
            </w:r>
          </w:p>
        </w:tc>
        <w:tc>
          <w:tcPr>
            <w:tcW w:w="993" w:type="dxa"/>
            <w:tcBorders>
              <w:top w:val="nil"/>
              <w:left w:val="nil"/>
              <w:bottom w:val="nil"/>
              <w:right w:val="nil"/>
            </w:tcBorders>
            <w:noWrap/>
            <w:vAlign w:val="center"/>
          </w:tcPr>
          <w:p w14:paraId="37358BD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填报人：</w:t>
            </w:r>
          </w:p>
        </w:tc>
        <w:tc>
          <w:tcPr>
            <w:tcW w:w="797" w:type="dxa"/>
            <w:gridSpan w:val="2"/>
            <w:tcBorders>
              <w:top w:val="nil"/>
              <w:left w:val="nil"/>
              <w:bottom w:val="nil"/>
              <w:right w:val="nil"/>
            </w:tcBorders>
            <w:noWrap/>
            <w:vAlign w:val="center"/>
          </w:tcPr>
          <w:p w14:paraId="430CAF2D">
            <w:pPr>
              <w:rPr>
                <w:rFonts w:hint="default" w:ascii="Times New Roman" w:hAnsi="Times New Roman" w:eastAsia="黑体" w:cs="Times New Roman"/>
                <w:i w:val="0"/>
                <w:iCs w:val="0"/>
                <w:color w:val="000000"/>
                <w:sz w:val="18"/>
                <w:szCs w:val="18"/>
                <w:u w:val="none"/>
              </w:rPr>
            </w:pPr>
          </w:p>
        </w:tc>
        <w:tc>
          <w:tcPr>
            <w:tcW w:w="721" w:type="dxa"/>
            <w:tcBorders>
              <w:top w:val="nil"/>
              <w:left w:val="nil"/>
              <w:bottom w:val="nil"/>
              <w:right w:val="nil"/>
            </w:tcBorders>
            <w:noWrap/>
            <w:vAlign w:val="center"/>
          </w:tcPr>
          <w:p w14:paraId="70943580">
            <w:pPr>
              <w:rPr>
                <w:rFonts w:hint="default" w:ascii="Times New Roman" w:hAnsi="Times New Roman" w:eastAsia="黑体" w:cs="Times New Roman"/>
                <w:i w:val="0"/>
                <w:iCs w:val="0"/>
                <w:color w:val="000000"/>
                <w:sz w:val="18"/>
                <w:szCs w:val="18"/>
                <w:u w:val="none"/>
              </w:rPr>
            </w:pPr>
          </w:p>
        </w:tc>
        <w:tc>
          <w:tcPr>
            <w:tcW w:w="722" w:type="dxa"/>
            <w:gridSpan w:val="2"/>
            <w:tcBorders>
              <w:top w:val="nil"/>
              <w:left w:val="nil"/>
              <w:bottom w:val="nil"/>
              <w:right w:val="nil"/>
            </w:tcBorders>
            <w:noWrap/>
            <w:vAlign w:val="center"/>
          </w:tcPr>
          <w:p w14:paraId="13926052">
            <w:pPr>
              <w:rPr>
                <w:rFonts w:hint="default" w:ascii="Times New Roman" w:hAnsi="Times New Roman" w:eastAsia="黑体" w:cs="Times New Roman"/>
                <w:i w:val="0"/>
                <w:iCs w:val="0"/>
                <w:color w:val="000000"/>
                <w:sz w:val="18"/>
                <w:szCs w:val="18"/>
                <w:u w:val="none"/>
              </w:rPr>
            </w:pPr>
          </w:p>
        </w:tc>
        <w:tc>
          <w:tcPr>
            <w:tcW w:w="905" w:type="dxa"/>
            <w:tcBorders>
              <w:top w:val="nil"/>
              <w:left w:val="nil"/>
              <w:bottom w:val="nil"/>
              <w:right w:val="nil"/>
            </w:tcBorders>
            <w:noWrap/>
            <w:vAlign w:val="center"/>
          </w:tcPr>
          <w:p w14:paraId="0E3A9823">
            <w:pPr>
              <w:rPr>
                <w:rFonts w:hint="default" w:ascii="Times New Roman" w:hAnsi="Times New Roman" w:eastAsia="黑体" w:cs="Times New Roman"/>
                <w:i w:val="0"/>
                <w:iCs w:val="0"/>
                <w:color w:val="000000"/>
                <w:sz w:val="18"/>
                <w:szCs w:val="18"/>
                <w:u w:val="none"/>
              </w:rPr>
            </w:pPr>
          </w:p>
        </w:tc>
        <w:tc>
          <w:tcPr>
            <w:tcW w:w="2927" w:type="dxa"/>
            <w:gridSpan w:val="6"/>
            <w:tcBorders>
              <w:top w:val="nil"/>
              <w:left w:val="nil"/>
              <w:bottom w:val="nil"/>
              <w:right w:val="nil"/>
            </w:tcBorders>
            <w:noWrap/>
            <w:vAlign w:val="center"/>
          </w:tcPr>
          <w:p w14:paraId="22BA06B3">
            <w:pP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填报日期：</w:t>
            </w:r>
          </w:p>
        </w:tc>
      </w:tr>
      <w:tr w14:paraId="7287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1047" w:hRule="atLeast"/>
        </w:trPr>
        <w:tc>
          <w:tcPr>
            <w:tcW w:w="13860" w:type="dxa"/>
            <w:gridSpan w:val="24"/>
            <w:tcBorders>
              <w:top w:val="nil"/>
              <w:left w:val="nil"/>
              <w:bottom w:val="nil"/>
              <w:right w:val="nil"/>
            </w:tcBorders>
            <w:noWrap/>
            <w:vAlign w:val="center"/>
          </w:tcPr>
          <w:p w14:paraId="5FD80CD8">
            <w:pPr>
              <w:keepNext w:val="0"/>
              <w:keepLines w:val="0"/>
              <w:widowControl/>
              <w:suppressLineNumbers w:val="0"/>
              <w:jc w:val="center"/>
              <w:textAlignment w:val="center"/>
              <w:rPr>
                <w:rFonts w:hint="default" w:ascii="Times New Roman" w:hAnsi="Times New Roman" w:eastAsia="微软雅黑" w:cs="Times New Roman"/>
                <w:i w:val="0"/>
                <w:iCs w:val="0"/>
                <w:color w:val="000000"/>
                <w:sz w:val="40"/>
                <w:szCs w:val="40"/>
                <w:u w:val="none"/>
              </w:rPr>
            </w:pPr>
            <w:r>
              <w:rPr>
                <w:rFonts w:hint="default" w:ascii="Times New Roman" w:hAnsi="Times New Roman" w:eastAsia="微软雅黑" w:cs="Times New Roman"/>
                <w:i w:val="0"/>
                <w:iCs w:val="0"/>
                <w:color w:val="000000"/>
                <w:kern w:val="0"/>
                <w:sz w:val="40"/>
                <w:szCs w:val="40"/>
                <w:u w:val="none"/>
                <w:lang w:val="en-US" w:eastAsia="zh-CN" w:bidi="ar"/>
              </w:rPr>
              <w:t>地膜回收台账</w:t>
            </w:r>
          </w:p>
        </w:tc>
      </w:tr>
      <w:tr w14:paraId="5A85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1588"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05C0249D">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742A0E35">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回收日期</w:t>
            </w:r>
          </w:p>
        </w:tc>
        <w:tc>
          <w:tcPr>
            <w:tcW w:w="1663" w:type="dxa"/>
            <w:gridSpan w:val="3"/>
            <w:tcBorders>
              <w:top w:val="single" w:color="000000" w:sz="4" w:space="0"/>
              <w:left w:val="single" w:color="000000" w:sz="4" w:space="0"/>
              <w:bottom w:val="single" w:color="000000" w:sz="4" w:space="0"/>
              <w:right w:val="single" w:color="000000" w:sz="4" w:space="0"/>
            </w:tcBorders>
            <w:noWrap w:val="0"/>
            <w:vAlign w:val="center"/>
          </w:tcPr>
          <w:p w14:paraId="1BF004C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上缴面积（方）</w:t>
            </w:r>
          </w:p>
        </w:tc>
        <w:tc>
          <w:tcPr>
            <w:tcW w:w="1261" w:type="dxa"/>
            <w:gridSpan w:val="2"/>
            <w:tcBorders>
              <w:top w:val="single" w:color="000000" w:sz="4" w:space="0"/>
              <w:left w:val="single" w:color="000000" w:sz="4" w:space="0"/>
              <w:bottom w:val="single" w:color="000000" w:sz="4" w:space="0"/>
              <w:right w:val="single" w:color="000000" w:sz="4" w:space="0"/>
            </w:tcBorders>
            <w:noWrap w:val="0"/>
            <w:vAlign w:val="center"/>
          </w:tcPr>
          <w:p w14:paraId="621B7B2B">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上交重量（公斤）</w:t>
            </w:r>
          </w:p>
        </w:tc>
        <w:tc>
          <w:tcPr>
            <w:tcW w:w="1279" w:type="dxa"/>
            <w:gridSpan w:val="2"/>
            <w:tcBorders>
              <w:top w:val="single" w:color="000000" w:sz="4" w:space="0"/>
              <w:left w:val="single" w:color="000000" w:sz="4" w:space="0"/>
              <w:bottom w:val="single" w:color="000000" w:sz="4" w:space="0"/>
              <w:right w:val="single" w:color="000000" w:sz="4" w:space="0"/>
            </w:tcBorders>
            <w:noWrap w:val="0"/>
            <w:vAlign w:val="center"/>
          </w:tcPr>
          <w:p w14:paraId="40BAC68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实际重量（公斤）</w:t>
            </w: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04375B3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金额（元）</w:t>
            </w:r>
          </w:p>
        </w:tc>
        <w:tc>
          <w:tcPr>
            <w:tcW w:w="1397" w:type="dxa"/>
            <w:gridSpan w:val="3"/>
            <w:tcBorders>
              <w:top w:val="single" w:color="000000" w:sz="4" w:space="0"/>
              <w:left w:val="single" w:color="000000" w:sz="4" w:space="0"/>
              <w:bottom w:val="single" w:color="000000" w:sz="4" w:space="0"/>
              <w:right w:val="single" w:color="000000" w:sz="4" w:space="0"/>
            </w:tcBorders>
            <w:noWrap w:val="0"/>
            <w:vAlign w:val="center"/>
          </w:tcPr>
          <w:p w14:paraId="5E9A17D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缴膜人（主体名称）</w:t>
            </w: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3764962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种植地点</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78E22F2B">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联系方式</w:t>
            </w: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0C15F42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签名</w:t>
            </w:r>
          </w:p>
        </w:tc>
      </w:tr>
      <w:tr w14:paraId="7EF4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935"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523DE6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309C292A">
            <w:pPr>
              <w:rPr>
                <w:rFonts w:hint="default" w:ascii="Times New Roman" w:hAnsi="Times New Roman" w:eastAsia="宋体" w:cs="Times New Roman"/>
                <w:i w:val="0"/>
                <w:iCs w:val="0"/>
                <w:color w:val="000000"/>
                <w:sz w:val="22"/>
                <w:szCs w:val="22"/>
                <w:u w:val="none"/>
              </w:rPr>
            </w:pPr>
          </w:p>
        </w:tc>
        <w:tc>
          <w:tcPr>
            <w:tcW w:w="1663" w:type="dxa"/>
            <w:gridSpan w:val="3"/>
            <w:tcBorders>
              <w:top w:val="single" w:color="000000" w:sz="4" w:space="0"/>
              <w:left w:val="single" w:color="000000" w:sz="4" w:space="0"/>
              <w:bottom w:val="single" w:color="000000" w:sz="4" w:space="0"/>
              <w:right w:val="single" w:color="000000" w:sz="4" w:space="0"/>
            </w:tcBorders>
            <w:noWrap/>
            <w:vAlign w:val="center"/>
          </w:tcPr>
          <w:p w14:paraId="74451085">
            <w:pPr>
              <w:rPr>
                <w:rFonts w:hint="default" w:ascii="Times New Roman" w:hAnsi="Times New Roman" w:eastAsia="宋体" w:cs="Times New Roman"/>
                <w:i w:val="0"/>
                <w:iCs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noWrap/>
            <w:vAlign w:val="center"/>
          </w:tcPr>
          <w:p w14:paraId="733B5EB1">
            <w:pPr>
              <w:rPr>
                <w:rFonts w:hint="default" w:ascii="Times New Roman" w:hAnsi="Times New Roman" w:eastAsia="宋体" w:cs="Times New Roman"/>
                <w:i w:val="0"/>
                <w:iCs w:val="0"/>
                <w:color w:val="000000"/>
                <w:sz w:val="22"/>
                <w:szCs w:val="22"/>
                <w:u w:val="none"/>
              </w:rPr>
            </w:pPr>
          </w:p>
        </w:tc>
        <w:tc>
          <w:tcPr>
            <w:tcW w:w="1279" w:type="dxa"/>
            <w:gridSpan w:val="2"/>
            <w:tcBorders>
              <w:top w:val="single" w:color="000000" w:sz="4" w:space="0"/>
              <w:left w:val="single" w:color="000000" w:sz="4" w:space="0"/>
              <w:bottom w:val="single" w:color="000000" w:sz="4" w:space="0"/>
              <w:right w:val="single" w:color="000000" w:sz="4" w:space="0"/>
            </w:tcBorders>
            <w:noWrap/>
            <w:vAlign w:val="center"/>
          </w:tcPr>
          <w:p w14:paraId="73A5BC88">
            <w:pPr>
              <w:rPr>
                <w:rFonts w:hint="default" w:ascii="Times New Roman" w:hAnsi="Times New Roman" w:eastAsia="宋体" w:cs="Times New Roman"/>
                <w:i w:val="0"/>
                <w:iCs w:val="0"/>
                <w:color w:val="000000"/>
                <w:sz w:val="22"/>
                <w:szCs w:val="22"/>
                <w:u w:val="none"/>
              </w:rPr>
            </w:pP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564F55CF">
            <w:pPr>
              <w:rPr>
                <w:rFonts w:hint="default" w:ascii="Times New Roman" w:hAnsi="Times New Roman" w:eastAsia="宋体" w:cs="Times New Roman"/>
                <w:i w:val="0"/>
                <w:iCs w:val="0"/>
                <w:color w:val="000000"/>
                <w:sz w:val="22"/>
                <w:szCs w:val="22"/>
                <w:u w:val="none"/>
              </w:rPr>
            </w:pPr>
          </w:p>
        </w:tc>
        <w:tc>
          <w:tcPr>
            <w:tcW w:w="1397" w:type="dxa"/>
            <w:gridSpan w:val="3"/>
            <w:tcBorders>
              <w:top w:val="single" w:color="000000" w:sz="4" w:space="0"/>
              <w:left w:val="single" w:color="000000" w:sz="4" w:space="0"/>
              <w:bottom w:val="single" w:color="000000" w:sz="4" w:space="0"/>
              <w:right w:val="single" w:color="000000" w:sz="4" w:space="0"/>
            </w:tcBorders>
            <w:noWrap/>
            <w:vAlign w:val="center"/>
          </w:tcPr>
          <w:p w14:paraId="2DD51D66">
            <w:pPr>
              <w:rPr>
                <w:rFonts w:hint="default" w:ascii="Times New Roman" w:hAnsi="Times New Roman" w:eastAsia="宋体" w:cs="Times New Roman"/>
                <w:i w:val="0"/>
                <w:iCs w:val="0"/>
                <w:color w:val="000000"/>
                <w:sz w:val="22"/>
                <w:szCs w:val="22"/>
                <w:u w:val="none"/>
              </w:rPr>
            </w:pP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6F4891D4">
            <w:pPr>
              <w:rPr>
                <w:rFonts w:hint="default" w:ascii="Times New Roman" w:hAnsi="Times New Roman" w:eastAsia="宋体" w:cs="Times New Roman"/>
                <w:i w:val="0"/>
                <w:iCs w:val="0"/>
                <w:color w:val="000000"/>
                <w:sz w:val="22"/>
                <w:szCs w:val="22"/>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16AEA96A">
            <w:pPr>
              <w:rPr>
                <w:rFonts w:hint="default" w:ascii="Times New Roman" w:hAnsi="Times New Roman" w:eastAsia="宋体" w:cs="Times New Roman"/>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784D8A5D">
            <w:pPr>
              <w:rPr>
                <w:rFonts w:hint="default" w:ascii="Times New Roman" w:hAnsi="Times New Roman" w:eastAsia="宋体" w:cs="Times New Roman"/>
                <w:i w:val="0"/>
                <w:iCs w:val="0"/>
                <w:color w:val="000000"/>
                <w:sz w:val="22"/>
                <w:szCs w:val="22"/>
                <w:u w:val="none"/>
              </w:rPr>
            </w:pPr>
          </w:p>
        </w:tc>
      </w:tr>
      <w:tr w14:paraId="5ADF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935"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3405E9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31F6F9AA">
            <w:pPr>
              <w:rPr>
                <w:rFonts w:hint="default" w:ascii="Times New Roman" w:hAnsi="Times New Roman" w:eastAsia="宋体" w:cs="Times New Roman"/>
                <w:i w:val="0"/>
                <w:iCs w:val="0"/>
                <w:color w:val="000000"/>
                <w:sz w:val="22"/>
                <w:szCs w:val="22"/>
                <w:u w:val="none"/>
              </w:rPr>
            </w:pPr>
          </w:p>
        </w:tc>
        <w:tc>
          <w:tcPr>
            <w:tcW w:w="1663" w:type="dxa"/>
            <w:gridSpan w:val="3"/>
            <w:tcBorders>
              <w:top w:val="single" w:color="000000" w:sz="4" w:space="0"/>
              <w:left w:val="single" w:color="000000" w:sz="4" w:space="0"/>
              <w:bottom w:val="single" w:color="000000" w:sz="4" w:space="0"/>
              <w:right w:val="single" w:color="000000" w:sz="4" w:space="0"/>
            </w:tcBorders>
            <w:noWrap/>
            <w:vAlign w:val="center"/>
          </w:tcPr>
          <w:p w14:paraId="02E6D909">
            <w:pPr>
              <w:rPr>
                <w:rFonts w:hint="default" w:ascii="Times New Roman" w:hAnsi="Times New Roman" w:eastAsia="宋体" w:cs="Times New Roman"/>
                <w:i w:val="0"/>
                <w:iCs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noWrap/>
            <w:vAlign w:val="center"/>
          </w:tcPr>
          <w:p w14:paraId="425A8D01">
            <w:pPr>
              <w:rPr>
                <w:rFonts w:hint="default" w:ascii="Times New Roman" w:hAnsi="Times New Roman" w:eastAsia="宋体" w:cs="Times New Roman"/>
                <w:i w:val="0"/>
                <w:iCs w:val="0"/>
                <w:color w:val="000000"/>
                <w:sz w:val="22"/>
                <w:szCs w:val="22"/>
                <w:u w:val="none"/>
              </w:rPr>
            </w:pPr>
          </w:p>
        </w:tc>
        <w:tc>
          <w:tcPr>
            <w:tcW w:w="1279" w:type="dxa"/>
            <w:gridSpan w:val="2"/>
            <w:tcBorders>
              <w:top w:val="single" w:color="000000" w:sz="4" w:space="0"/>
              <w:left w:val="single" w:color="000000" w:sz="4" w:space="0"/>
              <w:bottom w:val="single" w:color="000000" w:sz="4" w:space="0"/>
              <w:right w:val="single" w:color="000000" w:sz="4" w:space="0"/>
            </w:tcBorders>
            <w:noWrap/>
            <w:vAlign w:val="center"/>
          </w:tcPr>
          <w:p w14:paraId="285B01AE">
            <w:pPr>
              <w:rPr>
                <w:rFonts w:hint="default" w:ascii="Times New Roman" w:hAnsi="Times New Roman" w:eastAsia="宋体" w:cs="Times New Roman"/>
                <w:i w:val="0"/>
                <w:iCs w:val="0"/>
                <w:color w:val="000000"/>
                <w:sz w:val="22"/>
                <w:szCs w:val="22"/>
                <w:u w:val="none"/>
              </w:rPr>
            </w:pP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23341D5F">
            <w:pPr>
              <w:rPr>
                <w:rFonts w:hint="default" w:ascii="Times New Roman" w:hAnsi="Times New Roman" w:eastAsia="宋体" w:cs="Times New Roman"/>
                <w:i w:val="0"/>
                <w:iCs w:val="0"/>
                <w:color w:val="000000"/>
                <w:sz w:val="22"/>
                <w:szCs w:val="22"/>
                <w:u w:val="none"/>
              </w:rPr>
            </w:pPr>
          </w:p>
        </w:tc>
        <w:tc>
          <w:tcPr>
            <w:tcW w:w="1397" w:type="dxa"/>
            <w:gridSpan w:val="3"/>
            <w:tcBorders>
              <w:top w:val="single" w:color="000000" w:sz="4" w:space="0"/>
              <w:left w:val="single" w:color="000000" w:sz="4" w:space="0"/>
              <w:bottom w:val="single" w:color="000000" w:sz="4" w:space="0"/>
              <w:right w:val="single" w:color="000000" w:sz="4" w:space="0"/>
            </w:tcBorders>
            <w:noWrap/>
            <w:vAlign w:val="center"/>
          </w:tcPr>
          <w:p w14:paraId="7D84E5C7">
            <w:pPr>
              <w:rPr>
                <w:rFonts w:hint="default" w:ascii="Times New Roman" w:hAnsi="Times New Roman" w:eastAsia="宋体" w:cs="Times New Roman"/>
                <w:i w:val="0"/>
                <w:iCs w:val="0"/>
                <w:color w:val="000000"/>
                <w:sz w:val="22"/>
                <w:szCs w:val="22"/>
                <w:u w:val="none"/>
              </w:rPr>
            </w:pP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0E7FB355">
            <w:pPr>
              <w:rPr>
                <w:rFonts w:hint="default" w:ascii="Times New Roman" w:hAnsi="Times New Roman" w:eastAsia="宋体" w:cs="Times New Roman"/>
                <w:i w:val="0"/>
                <w:iCs w:val="0"/>
                <w:color w:val="000000"/>
                <w:sz w:val="22"/>
                <w:szCs w:val="22"/>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6A6A285B">
            <w:pPr>
              <w:rPr>
                <w:rFonts w:hint="default" w:ascii="Times New Roman" w:hAnsi="Times New Roman" w:eastAsia="宋体" w:cs="Times New Roman"/>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1638CDE5">
            <w:pPr>
              <w:rPr>
                <w:rFonts w:hint="default" w:ascii="Times New Roman" w:hAnsi="Times New Roman" w:eastAsia="宋体" w:cs="Times New Roman"/>
                <w:i w:val="0"/>
                <w:iCs w:val="0"/>
                <w:color w:val="000000"/>
                <w:sz w:val="22"/>
                <w:szCs w:val="22"/>
                <w:u w:val="none"/>
              </w:rPr>
            </w:pPr>
          </w:p>
        </w:tc>
      </w:tr>
      <w:tr w14:paraId="523E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935"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082DA4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4C6BD8AA">
            <w:pPr>
              <w:rPr>
                <w:rFonts w:hint="default" w:ascii="Times New Roman" w:hAnsi="Times New Roman" w:eastAsia="宋体" w:cs="Times New Roman"/>
                <w:i w:val="0"/>
                <w:iCs w:val="0"/>
                <w:color w:val="000000"/>
                <w:sz w:val="22"/>
                <w:szCs w:val="22"/>
                <w:u w:val="none"/>
              </w:rPr>
            </w:pPr>
          </w:p>
        </w:tc>
        <w:tc>
          <w:tcPr>
            <w:tcW w:w="1663" w:type="dxa"/>
            <w:gridSpan w:val="3"/>
            <w:tcBorders>
              <w:top w:val="single" w:color="000000" w:sz="4" w:space="0"/>
              <w:left w:val="single" w:color="000000" w:sz="4" w:space="0"/>
              <w:bottom w:val="single" w:color="000000" w:sz="4" w:space="0"/>
              <w:right w:val="single" w:color="000000" w:sz="4" w:space="0"/>
            </w:tcBorders>
            <w:noWrap/>
            <w:vAlign w:val="center"/>
          </w:tcPr>
          <w:p w14:paraId="020F9F88">
            <w:pPr>
              <w:rPr>
                <w:rFonts w:hint="default" w:ascii="Times New Roman" w:hAnsi="Times New Roman" w:eastAsia="宋体" w:cs="Times New Roman"/>
                <w:i w:val="0"/>
                <w:iCs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noWrap/>
            <w:vAlign w:val="center"/>
          </w:tcPr>
          <w:p w14:paraId="4E846D48">
            <w:pPr>
              <w:rPr>
                <w:rFonts w:hint="default" w:ascii="Times New Roman" w:hAnsi="Times New Roman" w:eastAsia="宋体" w:cs="Times New Roman"/>
                <w:i w:val="0"/>
                <w:iCs w:val="0"/>
                <w:color w:val="000000"/>
                <w:sz w:val="22"/>
                <w:szCs w:val="22"/>
                <w:u w:val="none"/>
              </w:rPr>
            </w:pPr>
          </w:p>
        </w:tc>
        <w:tc>
          <w:tcPr>
            <w:tcW w:w="1279" w:type="dxa"/>
            <w:gridSpan w:val="2"/>
            <w:tcBorders>
              <w:top w:val="single" w:color="000000" w:sz="4" w:space="0"/>
              <w:left w:val="single" w:color="000000" w:sz="4" w:space="0"/>
              <w:bottom w:val="single" w:color="000000" w:sz="4" w:space="0"/>
              <w:right w:val="single" w:color="000000" w:sz="4" w:space="0"/>
            </w:tcBorders>
            <w:noWrap/>
            <w:vAlign w:val="center"/>
          </w:tcPr>
          <w:p w14:paraId="690CA951">
            <w:pPr>
              <w:rPr>
                <w:rFonts w:hint="default" w:ascii="Times New Roman" w:hAnsi="Times New Roman" w:eastAsia="宋体" w:cs="Times New Roman"/>
                <w:i w:val="0"/>
                <w:iCs w:val="0"/>
                <w:color w:val="000000"/>
                <w:sz w:val="22"/>
                <w:szCs w:val="22"/>
                <w:u w:val="none"/>
              </w:rPr>
            </w:pP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38C865DE">
            <w:pPr>
              <w:rPr>
                <w:rFonts w:hint="default" w:ascii="Times New Roman" w:hAnsi="Times New Roman" w:eastAsia="宋体" w:cs="Times New Roman"/>
                <w:i w:val="0"/>
                <w:iCs w:val="0"/>
                <w:color w:val="000000"/>
                <w:sz w:val="22"/>
                <w:szCs w:val="22"/>
                <w:u w:val="none"/>
              </w:rPr>
            </w:pPr>
          </w:p>
        </w:tc>
        <w:tc>
          <w:tcPr>
            <w:tcW w:w="1397" w:type="dxa"/>
            <w:gridSpan w:val="3"/>
            <w:tcBorders>
              <w:top w:val="single" w:color="000000" w:sz="4" w:space="0"/>
              <w:left w:val="single" w:color="000000" w:sz="4" w:space="0"/>
              <w:bottom w:val="single" w:color="000000" w:sz="4" w:space="0"/>
              <w:right w:val="single" w:color="000000" w:sz="4" w:space="0"/>
            </w:tcBorders>
            <w:noWrap/>
            <w:vAlign w:val="center"/>
          </w:tcPr>
          <w:p w14:paraId="0D736712">
            <w:pPr>
              <w:rPr>
                <w:rFonts w:hint="default" w:ascii="Times New Roman" w:hAnsi="Times New Roman" w:eastAsia="宋体" w:cs="Times New Roman"/>
                <w:i w:val="0"/>
                <w:iCs w:val="0"/>
                <w:color w:val="000000"/>
                <w:sz w:val="22"/>
                <w:szCs w:val="22"/>
                <w:u w:val="none"/>
              </w:rPr>
            </w:pP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7C1A45B6">
            <w:pPr>
              <w:rPr>
                <w:rFonts w:hint="default" w:ascii="Times New Roman" w:hAnsi="Times New Roman" w:eastAsia="宋体" w:cs="Times New Roman"/>
                <w:i w:val="0"/>
                <w:iCs w:val="0"/>
                <w:color w:val="000000"/>
                <w:sz w:val="22"/>
                <w:szCs w:val="22"/>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57CCC97A">
            <w:pPr>
              <w:rPr>
                <w:rFonts w:hint="default" w:ascii="Times New Roman" w:hAnsi="Times New Roman" w:eastAsia="宋体" w:cs="Times New Roman"/>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0336605C">
            <w:pPr>
              <w:rPr>
                <w:rFonts w:hint="default" w:ascii="Times New Roman" w:hAnsi="Times New Roman" w:eastAsia="宋体" w:cs="Times New Roman"/>
                <w:i w:val="0"/>
                <w:iCs w:val="0"/>
                <w:color w:val="000000"/>
                <w:sz w:val="22"/>
                <w:szCs w:val="22"/>
                <w:u w:val="none"/>
              </w:rPr>
            </w:pPr>
          </w:p>
        </w:tc>
      </w:tr>
      <w:tr w14:paraId="65D5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935"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0983F3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538A2A05">
            <w:pPr>
              <w:rPr>
                <w:rFonts w:hint="default" w:ascii="Times New Roman" w:hAnsi="Times New Roman" w:eastAsia="宋体" w:cs="Times New Roman"/>
                <w:i w:val="0"/>
                <w:iCs w:val="0"/>
                <w:color w:val="000000"/>
                <w:sz w:val="22"/>
                <w:szCs w:val="22"/>
                <w:u w:val="none"/>
              </w:rPr>
            </w:pPr>
          </w:p>
        </w:tc>
        <w:tc>
          <w:tcPr>
            <w:tcW w:w="1663" w:type="dxa"/>
            <w:gridSpan w:val="3"/>
            <w:tcBorders>
              <w:top w:val="single" w:color="000000" w:sz="4" w:space="0"/>
              <w:left w:val="single" w:color="000000" w:sz="4" w:space="0"/>
              <w:bottom w:val="single" w:color="000000" w:sz="4" w:space="0"/>
              <w:right w:val="single" w:color="000000" w:sz="4" w:space="0"/>
            </w:tcBorders>
            <w:noWrap/>
            <w:vAlign w:val="center"/>
          </w:tcPr>
          <w:p w14:paraId="0023ABD7">
            <w:pPr>
              <w:rPr>
                <w:rFonts w:hint="default" w:ascii="Times New Roman" w:hAnsi="Times New Roman" w:eastAsia="宋体" w:cs="Times New Roman"/>
                <w:i w:val="0"/>
                <w:iCs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noWrap/>
            <w:vAlign w:val="center"/>
          </w:tcPr>
          <w:p w14:paraId="5FBBF3B5">
            <w:pPr>
              <w:rPr>
                <w:rFonts w:hint="default" w:ascii="Times New Roman" w:hAnsi="Times New Roman" w:eastAsia="宋体" w:cs="Times New Roman"/>
                <w:i w:val="0"/>
                <w:iCs w:val="0"/>
                <w:color w:val="000000"/>
                <w:sz w:val="22"/>
                <w:szCs w:val="22"/>
                <w:u w:val="none"/>
              </w:rPr>
            </w:pPr>
          </w:p>
        </w:tc>
        <w:tc>
          <w:tcPr>
            <w:tcW w:w="1279" w:type="dxa"/>
            <w:gridSpan w:val="2"/>
            <w:tcBorders>
              <w:top w:val="single" w:color="000000" w:sz="4" w:space="0"/>
              <w:left w:val="single" w:color="000000" w:sz="4" w:space="0"/>
              <w:bottom w:val="single" w:color="000000" w:sz="4" w:space="0"/>
              <w:right w:val="single" w:color="000000" w:sz="4" w:space="0"/>
            </w:tcBorders>
            <w:noWrap/>
            <w:vAlign w:val="center"/>
          </w:tcPr>
          <w:p w14:paraId="065E0D71">
            <w:pPr>
              <w:rPr>
                <w:rFonts w:hint="default" w:ascii="Times New Roman" w:hAnsi="Times New Roman" w:eastAsia="宋体" w:cs="Times New Roman"/>
                <w:i w:val="0"/>
                <w:iCs w:val="0"/>
                <w:color w:val="000000"/>
                <w:sz w:val="22"/>
                <w:szCs w:val="22"/>
                <w:u w:val="none"/>
              </w:rPr>
            </w:pP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368ECB26">
            <w:pPr>
              <w:rPr>
                <w:rFonts w:hint="default" w:ascii="Times New Roman" w:hAnsi="Times New Roman" w:eastAsia="宋体" w:cs="Times New Roman"/>
                <w:i w:val="0"/>
                <w:iCs w:val="0"/>
                <w:color w:val="000000"/>
                <w:sz w:val="22"/>
                <w:szCs w:val="22"/>
                <w:u w:val="none"/>
              </w:rPr>
            </w:pPr>
          </w:p>
        </w:tc>
        <w:tc>
          <w:tcPr>
            <w:tcW w:w="1397" w:type="dxa"/>
            <w:gridSpan w:val="3"/>
            <w:tcBorders>
              <w:top w:val="single" w:color="000000" w:sz="4" w:space="0"/>
              <w:left w:val="single" w:color="000000" w:sz="4" w:space="0"/>
              <w:bottom w:val="single" w:color="000000" w:sz="4" w:space="0"/>
              <w:right w:val="single" w:color="000000" w:sz="4" w:space="0"/>
            </w:tcBorders>
            <w:noWrap/>
            <w:vAlign w:val="center"/>
          </w:tcPr>
          <w:p w14:paraId="27909908">
            <w:pPr>
              <w:rPr>
                <w:rFonts w:hint="default" w:ascii="Times New Roman" w:hAnsi="Times New Roman" w:eastAsia="宋体" w:cs="Times New Roman"/>
                <w:i w:val="0"/>
                <w:iCs w:val="0"/>
                <w:color w:val="000000"/>
                <w:sz w:val="22"/>
                <w:szCs w:val="22"/>
                <w:u w:val="none"/>
              </w:rPr>
            </w:pP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11A0372D">
            <w:pPr>
              <w:rPr>
                <w:rFonts w:hint="default" w:ascii="Times New Roman" w:hAnsi="Times New Roman" w:eastAsia="宋体" w:cs="Times New Roman"/>
                <w:i w:val="0"/>
                <w:iCs w:val="0"/>
                <w:color w:val="000000"/>
                <w:sz w:val="22"/>
                <w:szCs w:val="22"/>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37DB1956">
            <w:pPr>
              <w:rPr>
                <w:rFonts w:hint="default" w:ascii="Times New Roman" w:hAnsi="Times New Roman" w:eastAsia="宋体" w:cs="Times New Roman"/>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4BA6A5FE">
            <w:pPr>
              <w:rPr>
                <w:rFonts w:hint="default" w:ascii="Times New Roman" w:hAnsi="Times New Roman" w:eastAsia="宋体" w:cs="Times New Roman"/>
                <w:i w:val="0"/>
                <w:iCs w:val="0"/>
                <w:color w:val="000000"/>
                <w:sz w:val="22"/>
                <w:szCs w:val="22"/>
                <w:u w:val="none"/>
              </w:rPr>
            </w:pPr>
          </w:p>
        </w:tc>
      </w:tr>
      <w:tr w14:paraId="23E8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718"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4249BF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43673C30">
            <w:pPr>
              <w:rPr>
                <w:rFonts w:hint="default" w:ascii="Times New Roman" w:hAnsi="Times New Roman" w:eastAsia="宋体" w:cs="Times New Roman"/>
                <w:i w:val="0"/>
                <w:iCs w:val="0"/>
                <w:color w:val="000000"/>
                <w:sz w:val="22"/>
                <w:szCs w:val="22"/>
                <w:u w:val="none"/>
              </w:rPr>
            </w:pPr>
          </w:p>
        </w:tc>
        <w:tc>
          <w:tcPr>
            <w:tcW w:w="1663" w:type="dxa"/>
            <w:gridSpan w:val="3"/>
            <w:tcBorders>
              <w:top w:val="single" w:color="000000" w:sz="4" w:space="0"/>
              <w:left w:val="single" w:color="000000" w:sz="4" w:space="0"/>
              <w:bottom w:val="single" w:color="000000" w:sz="4" w:space="0"/>
              <w:right w:val="single" w:color="000000" w:sz="4" w:space="0"/>
            </w:tcBorders>
            <w:noWrap/>
            <w:vAlign w:val="center"/>
          </w:tcPr>
          <w:p w14:paraId="491ADB1E">
            <w:pPr>
              <w:rPr>
                <w:rFonts w:hint="default" w:ascii="Times New Roman" w:hAnsi="Times New Roman" w:eastAsia="宋体" w:cs="Times New Roman"/>
                <w:i w:val="0"/>
                <w:iCs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noWrap/>
            <w:vAlign w:val="center"/>
          </w:tcPr>
          <w:p w14:paraId="1A39FAF8">
            <w:pPr>
              <w:rPr>
                <w:rFonts w:hint="default" w:ascii="Times New Roman" w:hAnsi="Times New Roman" w:eastAsia="宋体" w:cs="Times New Roman"/>
                <w:i w:val="0"/>
                <w:iCs w:val="0"/>
                <w:color w:val="000000"/>
                <w:sz w:val="22"/>
                <w:szCs w:val="22"/>
                <w:u w:val="none"/>
              </w:rPr>
            </w:pPr>
          </w:p>
        </w:tc>
        <w:tc>
          <w:tcPr>
            <w:tcW w:w="1279" w:type="dxa"/>
            <w:gridSpan w:val="2"/>
            <w:tcBorders>
              <w:top w:val="single" w:color="000000" w:sz="4" w:space="0"/>
              <w:left w:val="single" w:color="000000" w:sz="4" w:space="0"/>
              <w:bottom w:val="single" w:color="000000" w:sz="4" w:space="0"/>
              <w:right w:val="single" w:color="000000" w:sz="4" w:space="0"/>
            </w:tcBorders>
            <w:noWrap/>
            <w:vAlign w:val="center"/>
          </w:tcPr>
          <w:p w14:paraId="1AF9F451">
            <w:pPr>
              <w:rPr>
                <w:rFonts w:hint="default" w:ascii="Times New Roman" w:hAnsi="Times New Roman" w:eastAsia="宋体" w:cs="Times New Roman"/>
                <w:i w:val="0"/>
                <w:iCs w:val="0"/>
                <w:color w:val="000000"/>
                <w:sz w:val="22"/>
                <w:szCs w:val="22"/>
                <w:u w:val="none"/>
              </w:rPr>
            </w:pP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44670852">
            <w:pPr>
              <w:rPr>
                <w:rFonts w:hint="default" w:ascii="Times New Roman" w:hAnsi="Times New Roman" w:eastAsia="宋体" w:cs="Times New Roman"/>
                <w:i w:val="0"/>
                <w:iCs w:val="0"/>
                <w:color w:val="000000"/>
                <w:sz w:val="22"/>
                <w:szCs w:val="22"/>
                <w:u w:val="none"/>
              </w:rPr>
            </w:pPr>
          </w:p>
        </w:tc>
        <w:tc>
          <w:tcPr>
            <w:tcW w:w="1397" w:type="dxa"/>
            <w:gridSpan w:val="3"/>
            <w:tcBorders>
              <w:top w:val="single" w:color="000000" w:sz="4" w:space="0"/>
              <w:left w:val="single" w:color="000000" w:sz="4" w:space="0"/>
              <w:bottom w:val="single" w:color="000000" w:sz="4" w:space="0"/>
              <w:right w:val="single" w:color="000000" w:sz="4" w:space="0"/>
            </w:tcBorders>
            <w:noWrap/>
            <w:vAlign w:val="center"/>
          </w:tcPr>
          <w:p w14:paraId="511B7A01">
            <w:pPr>
              <w:rPr>
                <w:rFonts w:hint="default" w:ascii="Times New Roman" w:hAnsi="Times New Roman" w:eastAsia="宋体" w:cs="Times New Roman"/>
                <w:i w:val="0"/>
                <w:iCs w:val="0"/>
                <w:color w:val="000000"/>
                <w:sz w:val="22"/>
                <w:szCs w:val="22"/>
                <w:u w:val="none"/>
              </w:rPr>
            </w:pP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15BC7B83">
            <w:pPr>
              <w:rPr>
                <w:rFonts w:hint="default" w:ascii="Times New Roman" w:hAnsi="Times New Roman" w:eastAsia="宋体" w:cs="Times New Roman"/>
                <w:i w:val="0"/>
                <w:iCs w:val="0"/>
                <w:color w:val="000000"/>
                <w:sz w:val="22"/>
                <w:szCs w:val="22"/>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5F572C6A">
            <w:pPr>
              <w:rPr>
                <w:rFonts w:hint="default" w:ascii="Times New Roman" w:hAnsi="Times New Roman" w:eastAsia="宋体" w:cs="Times New Roman"/>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3B3F9362">
            <w:pPr>
              <w:rPr>
                <w:rFonts w:hint="default" w:ascii="Times New Roman" w:hAnsi="Times New Roman" w:eastAsia="宋体" w:cs="Times New Roman"/>
                <w:i w:val="0"/>
                <w:iCs w:val="0"/>
                <w:color w:val="000000"/>
                <w:sz w:val="22"/>
                <w:szCs w:val="22"/>
                <w:u w:val="none"/>
              </w:rPr>
            </w:pPr>
          </w:p>
        </w:tc>
      </w:tr>
    </w:tbl>
    <w:p w14:paraId="37A0767E">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kern w:val="2"/>
          <w:sz w:val="32"/>
          <w:szCs w:val="32"/>
          <w:highlight w:val="none"/>
          <w:lang w:val="en-US" w:eastAsia="zh-CN" w:bidi="ar-SA"/>
        </w:rPr>
      </w:pPr>
    </w:p>
    <w:p w14:paraId="5381C6CE">
      <w:pPr>
        <w:rPr>
          <w:rFonts w:hint="default" w:ascii="Times New Roman" w:hAnsi="Times New Roman" w:cs="Times New Roman"/>
          <w:lang w:val="en-US" w:eastAsia="zh-CN"/>
        </w:rPr>
      </w:pPr>
    </w:p>
    <w:sectPr>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6A333D-BF47-4B89-92B6-EEA9268F4D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1DBC5CD-C140-45A4-900F-4E5775A8B951}"/>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17C29600-0D4B-4588-90A5-5A1937027666}"/>
  </w:font>
  <w:font w:name="楷体_GB2312">
    <w:panose1 w:val="02010609030101010101"/>
    <w:charset w:val="86"/>
    <w:family w:val="auto"/>
    <w:pitch w:val="default"/>
    <w:sig w:usb0="00000001" w:usb1="080E0000" w:usb2="00000000" w:usb3="00000000" w:csb0="00040000" w:csb1="00000000"/>
    <w:embedRegular r:id="rId4" w:fontKey="{A99B0D64-2F3B-4D47-8244-3B3A43814A4D}"/>
  </w:font>
  <w:font w:name="方正小标宋_GBK">
    <w:panose1 w:val="03000509000000000000"/>
    <w:charset w:val="86"/>
    <w:family w:val="auto"/>
    <w:pitch w:val="default"/>
    <w:sig w:usb0="00000001" w:usb1="080E0000" w:usb2="00000000" w:usb3="00000000" w:csb0="00040000" w:csb1="00000000"/>
    <w:embedRegular r:id="rId5" w:fontKey="{3026E5F5-47BA-4E2F-9DB8-5747BA632BFB}"/>
  </w:font>
  <w:font w:name="微软雅黑">
    <w:panose1 w:val="020B0503020204020204"/>
    <w:charset w:val="86"/>
    <w:family w:val="auto"/>
    <w:pitch w:val="default"/>
    <w:sig w:usb0="80000287" w:usb1="2ACF3C50" w:usb2="00000016" w:usb3="00000000" w:csb0="0004001F" w:csb1="00000000"/>
    <w:embedRegular r:id="rId6" w:fontKey="{2222EF42-64AC-4B72-889F-254AABA855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EC947">
    <w:pPr>
      <w:pStyle w:val="7"/>
      <w:rPr>
        <w:rFonts w:hint="eastAsia"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posOffset>5073015</wp:posOffset>
              </wp:positionH>
              <wp:positionV relativeFrom="paragraph">
                <wp:posOffset>-42545</wp:posOffset>
              </wp:positionV>
              <wp:extent cx="201295" cy="1676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1295" cy="167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A1CD1">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9.45pt;margin-top:-3.35pt;height:13.2pt;width:15.85pt;mso-position-horizontal-relative:margin;z-index:251660288;mso-width-relative:page;mso-height-relative:page;" filled="f" stroked="f" coordsize="21600,21600" o:gfxdata="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3X342AAAAAkBAAAPAAAAAAAAAAEAIAAAACIAAABkcnMvZG93bnJl&#10;di54bWxQSwECFAAUAAAACACHTuJAAnPybDYCAABhBAAADgAAAAAAAAABACAAAAAnAQAAZHJzL2Uy&#10;b0RvYy54bWxQSwUGAAAAAAYABgBZAQAAzwUAAAAA&#10;">
              <v:fill on="f" focussize="0,0"/>
              <v:stroke on="f" weight="0.5pt"/>
              <v:imagedata o:title=""/>
              <o:lock v:ext="edit" aspectratio="f"/>
              <v:textbox inset="0mm,0mm,0mm,0mm">
                <w:txbxContent>
                  <w:p w14:paraId="1E8A1CD1">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30234">
    <w:pPr>
      <w:pStyle w:val="7"/>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5073015</wp:posOffset>
              </wp:positionH>
              <wp:positionV relativeFrom="paragraph">
                <wp:posOffset>-42545</wp:posOffset>
              </wp:positionV>
              <wp:extent cx="201295" cy="1676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1295" cy="167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E8C55">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9.45pt;margin-top:-3.35pt;height:13.2pt;width:15.85pt;mso-position-horizontal-relative:margin;z-index:251659264;mso-width-relative:page;mso-height-relative:page;" filled="f" stroked="f" coordsize="21600,21600" o:gfxdata="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LdffjYAAAACQEAAA8AAAAAAAAAAQAgAAAAIgAAAGRycy9kb3ducmV2&#10;LnhtbFBLAQIUABQAAAAIAIdO4kCIdtgZNQIAAGEEAAAOAAAAAAAAAAEAIAAAACcBAABkcnMvZTJv&#10;RG9jLnhtbFBLBQYAAAAABgAGAFkBAADOBQAAAAA=&#10;">
              <v:fill on="f" focussize="0,0"/>
              <v:stroke on="f" weight="0.5pt"/>
              <v:imagedata o:title=""/>
              <o:lock v:ext="edit" aspectratio="f"/>
              <v:textbox inset="0mm,0mm,0mm,0mm">
                <w:txbxContent>
                  <w:p w14:paraId="2C9E8C55">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lvlText w:val="（%1）"/>
      <w:lvlJc w:val="left"/>
    </w:lvl>
  </w:abstractNum>
  <w:abstractNum w:abstractNumId="1">
    <w:nsid w:val="74E8FA4D"/>
    <w:multiLevelType w:val="singleLevel"/>
    <w:tmpl w:val="74E8FA4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NmE3MzNmMjk3Njk2OGMzOGM3NDIzZGIyZDdlYjMifQ=="/>
  </w:docVars>
  <w:rsids>
    <w:rsidRoot w:val="00000000"/>
    <w:rsid w:val="02EB239A"/>
    <w:rsid w:val="038C6B9A"/>
    <w:rsid w:val="051F457C"/>
    <w:rsid w:val="062C620B"/>
    <w:rsid w:val="0A1D225D"/>
    <w:rsid w:val="0A96708F"/>
    <w:rsid w:val="0D1A7F02"/>
    <w:rsid w:val="11EA7DFD"/>
    <w:rsid w:val="12152F8F"/>
    <w:rsid w:val="1275424D"/>
    <w:rsid w:val="16985F3D"/>
    <w:rsid w:val="18AC3083"/>
    <w:rsid w:val="1F9A5D15"/>
    <w:rsid w:val="200D34F7"/>
    <w:rsid w:val="21A763D3"/>
    <w:rsid w:val="237826C0"/>
    <w:rsid w:val="2A536FB2"/>
    <w:rsid w:val="2E4B1DBB"/>
    <w:rsid w:val="2F2C491F"/>
    <w:rsid w:val="320F4EAD"/>
    <w:rsid w:val="32685031"/>
    <w:rsid w:val="36AF2D61"/>
    <w:rsid w:val="37926AC3"/>
    <w:rsid w:val="37FF2C49"/>
    <w:rsid w:val="39E62997"/>
    <w:rsid w:val="3AE07D2F"/>
    <w:rsid w:val="423019D4"/>
    <w:rsid w:val="432C3C90"/>
    <w:rsid w:val="448D669E"/>
    <w:rsid w:val="49001B5F"/>
    <w:rsid w:val="49531AFB"/>
    <w:rsid w:val="503242BA"/>
    <w:rsid w:val="53335E8F"/>
    <w:rsid w:val="54B90F7D"/>
    <w:rsid w:val="57A43903"/>
    <w:rsid w:val="580761B8"/>
    <w:rsid w:val="58CB777B"/>
    <w:rsid w:val="60910BE9"/>
    <w:rsid w:val="637061DF"/>
    <w:rsid w:val="63BD3EBA"/>
    <w:rsid w:val="64091CB6"/>
    <w:rsid w:val="670F3B82"/>
    <w:rsid w:val="6742494F"/>
    <w:rsid w:val="679338AF"/>
    <w:rsid w:val="6B0D390D"/>
    <w:rsid w:val="6C833995"/>
    <w:rsid w:val="6D8A1045"/>
    <w:rsid w:val="6F021259"/>
    <w:rsid w:val="6F3F7C8F"/>
    <w:rsid w:val="6F5E2823"/>
    <w:rsid w:val="707F0E75"/>
    <w:rsid w:val="72200435"/>
    <w:rsid w:val="730B2E46"/>
    <w:rsid w:val="77F31CEC"/>
    <w:rsid w:val="7F43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ind w:firstLine="200" w:firstLineChars="200"/>
      <w:outlineLvl w:val="2"/>
    </w:pPr>
    <w:rPr>
      <w:rFonts w:ascii="仿宋" w:hAnsi="仿宋" w:cs="宋体"/>
      <w:color w:val="FF000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eastAsia="仿宋"/>
      <w:sz w:val="32"/>
    </w:rPr>
  </w:style>
  <w:style w:type="paragraph" w:styleId="4">
    <w:name w:val="Body Text Indent"/>
    <w:basedOn w:val="1"/>
    <w:next w:val="5"/>
    <w:qFormat/>
    <w:uiPriority w:val="0"/>
    <w:pPr>
      <w:spacing w:after="120"/>
      <w:ind w:left="420" w:leftChars="200"/>
    </w:pPr>
  </w:style>
  <w:style w:type="paragraph" w:styleId="5">
    <w:name w:val="Body Text First Indent 2"/>
    <w:basedOn w:val="4"/>
    <w:next w:val="6"/>
    <w:qFormat/>
    <w:uiPriority w:val="0"/>
    <w:pPr>
      <w:ind w:firstLine="420" w:firstLineChars="200"/>
    </w:pPr>
  </w:style>
  <w:style w:type="paragraph" w:styleId="6">
    <w:name w:val="Plain Text"/>
    <w:basedOn w:val="1"/>
    <w:qFormat/>
    <w:uiPriority w:val="0"/>
    <w:pPr>
      <w:widowControl w:val="0"/>
      <w:adjustRightInd/>
      <w:snapToGrid/>
      <w:spacing w:after="0" w:line="240" w:lineRule="atLeast"/>
      <w:jc w:val="both"/>
    </w:pPr>
    <w:rPr>
      <w:rFonts w:ascii="宋体" w:hAnsi="Courier New" w:eastAsia="宋体"/>
      <w:kern w:val="2"/>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文字 1"/>
    <w:basedOn w:val="1"/>
    <w:next w:val="1"/>
    <w:qFormat/>
    <w:uiPriority w:val="0"/>
    <w:pPr>
      <w:spacing w:before="100" w:beforeAutospacing="1" w:after="100" w:afterAutospacing="1"/>
      <w:ind w:left="240"/>
    </w:pPr>
    <w:rPr>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3748</Words>
  <Characters>4107</Characters>
  <Lines>0</Lines>
  <Paragraphs>0</Paragraphs>
  <TotalTime>50</TotalTime>
  <ScaleCrop>false</ScaleCrop>
  <LinksUpToDate>false</LinksUpToDate>
  <CharactersWithSpaces>4200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2025-12-16T09:23:00Z</dcterms:created>
  <dc:creator>Administrator</dc:creator>
  <cp:lastModifiedBy>Administrator</cp:lastModifiedBy>
  <cp:lastPrinted>2026-02-24T10:15:00Z</cp:lastPrinted>
  <dcterms:modified xsi:type="dcterms:W3CDTF">2026-04-30T11:01:51Z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eyJoZGlkIjoiMTM5OGIxZTM1MWNkZDg0NzNkMDg5YTEyNzllZmE4ZDcifQ==</vt:lpwstr>
  </property>
  <property fmtid="{D5CDD505-2E9C-101B-9397-08002B2CF9AE}" pid="4" name="ICV">
    <vt:lpwstr>708C6FC786294F00AC3E774741BD99EE_13</vt:lpwstr>
  </property>
</Properties>
</file>