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35160">
      <w:pPr>
        <w:spacing w:line="520" w:lineRule="exact"/>
        <w:jc w:val="center"/>
        <w:rPr>
          <w:rFonts w:hint="default" w:ascii="Times New Roman" w:hAnsi="Times New Roman" w:eastAsia="方正小标宋简体" w:cs="Times New Roman"/>
          <w:sz w:val="44"/>
          <w:szCs w:val="44"/>
          <w:lang w:eastAsia="zh-CN"/>
        </w:rPr>
      </w:pPr>
      <w:bookmarkStart w:id="1" w:name="_GoBack"/>
      <w:r>
        <w:rPr>
          <w:rFonts w:hint="default" w:ascii="Times New Roman" w:hAnsi="Times New Roman" w:eastAsia="方正小标宋简体" w:cs="Times New Roman"/>
          <w:sz w:val="44"/>
          <w:szCs w:val="44"/>
          <w:lang w:eastAsia="zh-CN"/>
        </w:rPr>
        <w:t>2025年和布克赛尔县地膜科学使用回收</w:t>
      </w:r>
    </w:p>
    <w:p w14:paraId="79BFF0BC">
      <w:pPr>
        <w:spacing w:line="52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项目实施方案</w:t>
      </w:r>
      <w:bookmarkEnd w:id="1"/>
      <w:r>
        <w:rPr>
          <w:rFonts w:hint="default" w:ascii="Times New Roman" w:hAnsi="Times New Roman" w:eastAsia="方正小标宋简体" w:cs="Times New Roman"/>
          <w:sz w:val="44"/>
          <w:szCs w:val="44"/>
          <w:lang w:eastAsia="zh-CN"/>
        </w:rPr>
        <w:t xml:space="preserve"> </w:t>
      </w:r>
    </w:p>
    <w:p w14:paraId="72F9F406">
      <w:pPr>
        <w:jc w:val="center"/>
        <w:rPr>
          <w:rFonts w:hint="default" w:ascii="Times New Roman" w:hAnsi="Times New Roman" w:eastAsia="方正小标宋_GBK" w:cs="Times New Roman"/>
          <w:b w:val="0"/>
          <w:bCs w:val="0"/>
          <w:sz w:val="44"/>
          <w:szCs w:val="44"/>
          <w:lang w:eastAsia="zh-CN"/>
        </w:rPr>
      </w:pPr>
    </w:p>
    <w:p w14:paraId="079B73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为贯彻落实2025年自治区党委一号文件部署要求，有序推</w:t>
      </w:r>
      <w:r>
        <w:rPr>
          <w:rFonts w:hint="default" w:ascii="Times New Roman" w:hAnsi="Times New Roman" w:eastAsia="仿宋_GB2312" w:cs="Times New Roman"/>
          <w:bCs/>
          <w:sz w:val="32"/>
          <w:szCs w:val="32"/>
          <w:lang w:eastAsia="zh-CN"/>
        </w:rPr>
        <w:t>进和布克赛尔蒙古自治县</w:t>
      </w:r>
      <w:r>
        <w:rPr>
          <w:rFonts w:hint="default" w:ascii="Times New Roman" w:hAnsi="Times New Roman" w:eastAsia="仿宋_GB2312" w:cs="Times New Roman"/>
          <w:bCs/>
          <w:sz w:val="32"/>
          <w:szCs w:val="32"/>
        </w:rPr>
        <w:t>2025年地膜科学使用回收工作，</w:t>
      </w:r>
      <w:r>
        <w:rPr>
          <w:rFonts w:hint="default" w:ascii="Times New Roman" w:hAnsi="Times New Roman" w:eastAsia="仿宋_GB2312" w:cs="Times New Roman"/>
          <w:bCs/>
          <w:sz w:val="32"/>
          <w:szCs w:val="32"/>
          <w:lang w:eastAsia="zh-CN"/>
        </w:rPr>
        <w:t>根据</w:t>
      </w:r>
      <w:r>
        <w:rPr>
          <w:rFonts w:hint="default" w:ascii="Times New Roman" w:hAnsi="Times New Roman" w:eastAsia="仿宋_GB2312" w:cs="Times New Roman"/>
          <w:bCs/>
          <w:sz w:val="32"/>
          <w:szCs w:val="32"/>
        </w:rPr>
        <w:t>《202</w:t>
      </w:r>
      <w:r>
        <w:rPr>
          <w:rFonts w:hint="default" w:ascii="Times New Roman" w:hAnsi="Times New Roman" w:eastAsia="仿宋_GB2312" w:cs="Times New Roman"/>
          <w:bCs/>
          <w:sz w:val="32"/>
          <w:szCs w:val="32"/>
          <w:lang w:eastAsia="zh-CN"/>
        </w:rPr>
        <w:t>5</w:t>
      </w:r>
      <w:r>
        <w:rPr>
          <w:rFonts w:hint="default" w:ascii="Times New Roman" w:hAnsi="Times New Roman" w:eastAsia="仿宋_GB2312" w:cs="Times New Roman"/>
          <w:bCs/>
          <w:sz w:val="32"/>
          <w:szCs w:val="32"/>
        </w:rPr>
        <w:t>年自治区地膜科学使用回收项目实施方案》</w:t>
      </w:r>
      <w:r>
        <w:rPr>
          <w:rFonts w:hint="default" w:ascii="Times New Roman" w:hAnsi="Times New Roman" w:eastAsia="仿宋_GB2312" w:cs="Times New Roman"/>
          <w:bCs/>
          <w:sz w:val="32"/>
          <w:szCs w:val="32"/>
          <w:lang w:eastAsia="zh-CN"/>
        </w:rPr>
        <w:t>及</w:t>
      </w:r>
      <w:r>
        <w:rPr>
          <w:rFonts w:hint="default" w:ascii="Times New Roman" w:hAnsi="Times New Roman" w:eastAsia="仿宋_GB2312" w:cs="Times New Roman"/>
          <w:bCs/>
          <w:sz w:val="32"/>
          <w:szCs w:val="32"/>
          <w:lang w:val="en-US" w:eastAsia="zh-CN"/>
        </w:rPr>
        <w:t>《2025年塔城地区地膜科学使用回收项目实施方案》</w:t>
      </w:r>
      <w:r>
        <w:rPr>
          <w:rFonts w:hint="default" w:ascii="Times New Roman" w:hAnsi="Times New Roman" w:eastAsia="仿宋_GB2312" w:cs="Times New Roman"/>
          <w:bCs/>
          <w:sz w:val="32"/>
          <w:szCs w:val="32"/>
          <w:lang w:eastAsia="zh-CN"/>
        </w:rPr>
        <w:t>文件要求，</w:t>
      </w:r>
      <w:r>
        <w:rPr>
          <w:rFonts w:hint="default" w:ascii="Times New Roman" w:hAnsi="Times New Roman" w:eastAsia="仿宋_GB2312" w:cs="Times New Roman"/>
          <w:bCs/>
          <w:sz w:val="32"/>
          <w:szCs w:val="32"/>
        </w:rPr>
        <w:t>落实全生物降解地膜</w:t>
      </w:r>
      <w:r>
        <w:rPr>
          <w:rFonts w:hint="default" w:ascii="Times New Roman" w:hAnsi="Times New Roman" w:eastAsia="仿宋_GB2312" w:cs="Times New Roman"/>
          <w:bCs/>
          <w:sz w:val="32"/>
          <w:szCs w:val="32"/>
          <w:lang w:eastAsia="zh-CN"/>
        </w:rPr>
        <w:t>1</w:t>
      </w:r>
      <w:r>
        <w:rPr>
          <w:rFonts w:hint="default" w:ascii="Times New Roman" w:hAnsi="Times New Roman" w:eastAsia="仿宋_GB2312" w:cs="Times New Roman"/>
          <w:bCs/>
          <w:sz w:val="32"/>
          <w:szCs w:val="32"/>
        </w:rPr>
        <w:t>万亩任务，持续推进废旧地膜回收处置，确保项目区农膜处置率达到85%以上。</w:t>
      </w:r>
      <w:r>
        <w:rPr>
          <w:rFonts w:hint="default" w:ascii="Times New Roman" w:hAnsi="Times New Roman" w:eastAsia="仿宋_GB2312" w:cs="Times New Roman"/>
          <w:bCs/>
          <w:sz w:val="32"/>
          <w:szCs w:val="32"/>
          <w:lang w:eastAsia="zh-CN"/>
        </w:rPr>
        <w:t>结合我县实际，</w:t>
      </w:r>
      <w:r>
        <w:rPr>
          <w:rFonts w:hint="default" w:ascii="Times New Roman" w:hAnsi="Times New Roman" w:eastAsia="仿宋_GB2312" w:cs="Times New Roman"/>
          <w:bCs/>
          <w:sz w:val="32"/>
          <w:szCs w:val="32"/>
        </w:rPr>
        <w:t>制定本方案。</w:t>
      </w:r>
    </w:p>
    <w:p w14:paraId="27A67A6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黑体" w:cs="Times New Roman"/>
          <w:b w:val="0"/>
          <w:bCs w:val="0"/>
          <w:sz w:val="32"/>
          <w:szCs w:val="32"/>
        </w:rPr>
        <w:t>一、基本情况</w:t>
      </w:r>
    </w:p>
    <w:p w14:paraId="5AB0A83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b w:val="0"/>
          <w:bCs/>
          <w:sz w:val="32"/>
          <w:szCs w:val="32"/>
          <w:highlight w:val="none"/>
          <w:lang w:val="en-US" w:eastAsia="zh-CN"/>
        </w:rPr>
      </w:pPr>
      <w:r>
        <w:rPr>
          <w:rFonts w:hint="default" w:ascii="Times New Roman" w:hAnsi="Times New Roman" w:eastAsia="楷体_GB2312" w:cs="Times New Roman"/>
          <w:b/>
          <w:bCs/>
          <w:sz w:val="32"/>
          <w:szCs w:val="32"/>
        </w:rPr>
        <w:t>（一）</w:t>
      </w:r>
      <w:r>
        <w:rPr>
          <w:rFonts w:hint="default" w:ascii="Times New Roman" w:hAnsi="Times New Roman" w:eastAsia="楷体_GB2312" w:cs="Times New Roman"/>
          <w:b/>
          <w:bCs/>
          <w:sz w:val="32"/>
          <w:szCs w:val="32"/>
          <w:lang w:val="en-US" w:eastAsia="zh-CN"/>
        </w:rPr>
        <w:t>县域</w:t>
      </w:r>
      <w:r>
        <w:rPr>
          <w:rFonts w:hint="default" w:ascii="Times New Roman" w:hAnsi="Times New Roman" w:eastAsia="楷体_GB2312" w:cs="Times New Roman"/>
          <w:b/>
          <w:bCs/>
          <w:sz w:val="32"/>
          <w:szCs w:val="32"/>
        </w:rPr>
        <w:t>基本情况</w:t>
      </w:r>
      <w:r>
        <w:rPr>
          <w:rFonts w:hint="eastAsia" w:ascii="Times New Roman" w:hAnsi="Times New Roman" w:eastAsia="楷体_GB2312" w:cs="Times New Roman"/>
          <w:b/>
          <w:bCs/>
          <w:sz w:val="32"/>
          <w:szCs w:val="32"/>
          <w:lang w:eastAsia="zh-CN"/>
        </w:rPr>
        <w:t>。</w:t>
      </w:r>
      <w:r>
        <w:rPr>
          <w:rFonts w:hint="default" w:ascii="Times New Roman" w:hAnsi="Times New Roman" w:eastAsia="仿宋_GB2312" w:cs="Times New Roman"/>
          <w:b w:val="0"/>
          <w:bCs/>
          <w:sz w:val="32"/>
          <w:szCs w:val="32"/>
          <w:highlight w:val="none"/>
          <w:lang w:val="en-US" w:eastAsia="zh-CN"/>
        </w:rPr>
        <w:t>和布克赛尔县自农作物覆膜技术推广以来，使用农膜时间长达20年左右。目前，我县地膜覆盖栽培技术已从棉花发展到其它农作物，包括食葵、玉米、籽瓜类和加工辣椒等。我县地膜使用面积已达</w:t>
      </w:r>
      <w:r>
        <w:rPr>
          <w:rFonts w:hint="default" w:ascii="Times New Roman" w:hAnsi="Times New Roman" w:eastAsia="仿宋_GB2312" w:cs="Times New Roman"/>
          <w:b w:val="0"/>
          <w:bCs/>
          <w:color w:val="auto"/>
          <w:sz w:val="32"/>
          <w:szCs w:val="32"/>
          <w:highlight w:val="none"/>
          <w:lang w:val="en-US" w:eastAsia="zh-CN"/>
        </w:rPr>
        <w:t>到26.</w:t>
      </w:r>
      <w:r>
        <w:rPr>
          <w:rFonts w:hint="eastAsia" w:ascii="Times New Roman" w:hAnsi="Times New Roman" w:eastAsia="仿宋_GB2312" w:cs="Times New Roman"/>
          <w:b w:val="0"/>
          <w:bCs/>
          <w:color w:val="auto"/>
          <w:sz w:val="32"/>
          <w:szCs w:val="32"/>
          <w:highlight w:val="none"/>
          <w:lang w:val="en-US" w:eastAsia="zh-CN"/>
        </w:rPr>
        <w:t>3</w:t>
      </w:r>
      <w:r>
        <w:rPr>
          <w:rFonts w:hint="default" w:ascii="Times New Roman" w:hAnsi="Times New Roman" w:eastAsia="仿宋_GB2312" w:cs="Times New Roman"/>
          <w:b w:val="0"/>
          <w:bCs/>
          <w:color w:val="auto"/>
          <w:sz w:val="32"/>
          <w:szCs w:val="32"/>
          <w:highlight w:val="none"/>
          <w:lang w:val="en-US" w:eastAsia="zh-CN"/>
        </w:rPr>
        <w:t>6万</w:t>
      </w:r>
      <w:r>
        <w:rPr>
          <w:rFonts w:hint="default" w:ascii="Times New Roman" w:hAnsi="Times New Roman" w:eastAsia="仿宋_GB2312" w:cs="Times New Roman"/>
          <w:b w:val="0"/>
          <w:bCs/>
          <w:sz w:val="32"/>
          <w:szCs w:val="32"/>
          <w:highlight w:val="none"/>
          <w:lang w:val="en-US" w:eastAsia="zh-CN"/>
        </w:rPr>
        <w:t>亩，其中玉米5.0017万亩、棉花7.9729万亩、打瓜0.4449万亩、籽用葫芦5.4781、辣椒2.1595万亩，其他作物，5.3035万亩（食葵、油菜等）</w:t>
      </w:r>
      <w:r>
        <w:rPr>
          <w:rFonts w:hint="eastAsia" w:ascii="Times New Roman" w:hAnsi="Times New Roman" w:eastAsia="仿宋_GB2312" w:cs="Times New Roman"/>
          <w:b w:val="0"/>
          <w:bCs/>
          <w:sz w:val="32"/>
          <w:szCs w:val="32"/>
          <w:highlight w:val="none"/>
          <w:lang w:val="en-US" w:eastAsia="zh-CN"/>
        </w:rPr>
        <w:t xml:space="preserve">。  </w:t>
      </w:r>
    </w:p>
    <w:p w14:paraId="79BB989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楷体_GB2312" w:cs="Times New Roman"/>
          <w:b/>
          <w:bCs/>
          <w:sz w:val="32"/>
          <w:szCs w:val="32"/>
        </w:rPr>
        <w:t>（二）地膜</w:t>
      </w:r>
      <w:r>
        <w:rPr>
          <w:rFonts w:hint="default" w:ascii="Times New Roman" w:hAnsi="Times New Roman" w:eastAsia="楷体_GB2312" w:cs="Times New Roman"/>
          <w:b/>
          <w:bCs/>
          <w:sz w:val="32"/>
          <w:szCs w:val="32"/>
          <w:lang w:val="en-US" w:eastAsia="zh-CN"/>
        </w:rPr>
        <w:t>覆盖</w:t>
      </w:r>
      <w:r>
        <w:rPr>
          <w:rFonts w:hint="default" w:ascii="Times New Roman" w:hAnsi="Times New Roman" w:eastAsia="楷体_GB2312" w:cs="Times New Roman"/>
          <w:b/>
          <w:bCs/>
          <w:sz w:val="32"/>
          <w:szCs w:val="32"/>
        </w:rPr>
        <w:t>应用与回收利用状况</w:t>
      </w:r>
      <w:r>
        <w:rPr>
          <w:rFonts w:hint="eastAsia" w:ascii="Times New Roman" w:hAnsi="Times New Roman" w:eastAsia="楷体_GB2312" w:cs="Times New Roman"/>
          <w:b/>
          <w:bCs/>
          <w:sz w:val="32"/>
          <w:szCs w:val="32"/>
          <w:lang w:eastAsia="zh-CN"/>
        </w:rPr>
        <w:t>。</w:t>
      </w:r>
      <w:r>
        <w:rPr>
          <w:rFonts w:hint="default" w:ascii="Times New Roman" w:hAnsi="Times New Roman" w:eastAsia="仿宋_GB2312" w:cs="Times New Roman"/>
          <w:bCs/>
          <w:sz w:val="32"/>
          <w:szCs w:val="32"/>
          <w:lang w:eastAsia="zh-CN"/>
        </w:rPr>
        <w:t>和布克赛尔</w:t>
      </w:r>
      <w:r>
        <w:rPr>
          <w:rFonts w:hint="eastAsia" w:ascii="Times New Roman" w:hAnsi="Times New Roman" w:eastAsia="仿宋_GB2312" w:cs="Times New Roman"/>
          <w:b w:val="0"/>
          <w:bCs/>
          <w:sz w:val="32"/>
          <w:szCs w:val="32"/>
          <w:highlight w:val="none"/>
          <w:lang w:val="en-US" w:eastAsia="zh-CN"/>
        </w:rPr>
        <w:t>县棉花、玉米、葫芦瓜等作物覆膜种植面积占到总播面积的</w:t>
      </w:r>
      <w:r>
        <w:rPr>
          <w:rFonts w:hint="default" w:ascii="Times New Roman" w:hAnsi="Times New Roman" w:eastAsia="仿宋_GB2312" w:cs="Times New Roman"/>
          <w:b w:val="0"/>
          <w:bCs/>
          <w:sz w:val="32"/>
          <w:szCs w:val="32"/>
          <w:highlight w:val="none"/>
          <w:lang w:val="en-US" w:eastAsia="zh-CN"/>
        </w:rPr>
        <w:t>94.7％</w:t>
      </w:r>
      <w:r>
        <w:rPr>
          <w:rFonts w:hint="eastAsia" w:ascii="Times New Roman" w:hAnsi="Times New Roman" w:eastAsia="仿宋_GB2312" w:cs="Times New Roman"/>
          <w:b w:val="0"/>
          <w:bCs/>
          <w:sz w:val="32"/>
          <w:szCs w:val="32"/>
          <w:highlight w:val="none"/>
          <w:lang w:val="en-US" w:eastAsia="zh-CN"/>
        </w:rPr>
        <w:t>，2024年度地膜回收率达85.1%。</w:t>
      </w:r>
    </w:p>
    <w:p w14:paraId="5C88447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二、基础条件</w:t>
      </w:r>
    </w:p>
    <w:p w14:paraId="6397D3B9">
      <w:pPr>
        <w:pStyle w:val="5"/>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（一）县域内地膜回收利用体系情况</w:t>
      </w:r>
      <w:r>
        <w:rPr>
          <w:rFonts w:hint="eastAsia" w:ascii="Times New Roman" w:hAnsi="Times New Roman" w:eastAsia="楷体_GB2312" w:cs="Times New Roman"/>
          <w:b/>
          <w:bCs/>
          <w:sz w:val="32"/>
          <w:szCs w:val="32"/>
          <w:highlight w:val="none"/>
          <w:lang w:val="en-US" w:eastAsia="zh-CN"/>
        </w:rPr>
        <w:t>。</w:t>
      </w:r>
      <w:r>
        <w:rPr>
          <w:rFonts w:hint="default" w:ascii="Times New Roman" w:hAnsi="Times New Roman" w:eastAsia="仿宋_GB2312" w:cs="Times New Roman"/>
          <w:bCs/>
          <w:sz w:val="32"/>
          <w:szCs w:val="32"/>
          <w:lang w:eastAsia="zh-CN"/>
        </w:rPr>
        <w:t>和布克赛尔</w:t>
      </w:r>
      <w:r>
        <w:rPr>
          <w:rFonts w:hint="default" w:ascii="Times New Roman" w:hAnsi="Times New Roman" w:eastAsia="仿宋_GB2312" w:cs="Times New Roman"/>
          <w:color w:val="auto"/>
          <w:sz w:val="32"/>
          <w:szCs w:val="32"/>
          <w:u w:val="none"/>
          <w:lang w:val="en-US" w:eastAsia="zh-CN"/>
        </w:rPr>
        <w:t>县没有废旧地膜加工企业；没有能进行能源化利用的符合环保要求的垃圾焚烧厂、火电厂、水泥窖等企业；正规的</w:t>
      </w:r>
      <w:r>
        <w:rPr>
          <w:rFonts w:hint="default" w:ascii="Times New Roman" w:hAnsi="Times New Roman" w:eastAsia="仿宋_GB2312" w:cs="Times New Roman"/>
          <w:color w:val="auto"/>
          <w:sz w:val="32"/>
          <w:szCs w:val="32"/>
          <w:u w:val="none"/>
          <w:lang w:eastAsia="zh-CN"/>
        </w:rPr>
        <w:t>农用残膜回收机械少，农用残膜回收均是农户通过采用打草机、搂草</w:t>
      </w:r>
      <w:r>
        <w:rPr>
          <w:rFonts w:hint="eastAsia" w:ascii="Times New Roman" w:hAnsi="Times New Roman" w:eastAsia="仿宋_GB2312" w:cs="Times New Roman"/>
          <w:color w:val="auto"/>
          <w:sz w:val="32"/>
          <w:szCs w:val="32"/>
          <w:u w:val="none"/>
          <w:lang w:eastAsia="zh-CN"/>
        </w:rPr>
        <w:t>机</w:t>
      </w:r>
      <w:r>
        <w:rPr>
          <w:rFonts w:hint="default" w:ascii="Times New Roman" w:hAnsi="Times New Roman" w:eastAsia="仿宋_GB2312" w:cs="Times New Roman"/>
          <w:color w:val="auto"/>
          <w:sz w:val="32"/>
          <w:szCs w:val="32"/>
          <w:u w:val="none"/>
          <w:lang w:eastAsia="zh-CN"/>
        </w:rPr>
        <w:t>、人工捡拾等方式回收田间废旧地膜。</w:t>
      </w:r>
      <w:r>
        <w:rPr>
          <w:rFonts w:hint="default" w:ascii="Times New Roman" w:hAnsi="Times New Roman" w:eastAsia="仿宋_GB2312" w:cs="Times New Roman"/>
          <w:b w:val="0"/>
          <w:bCs/>
          <w:sz w:val="32"/>
          <w:szCs w:val="32"/>
          <w:highlight w:val="none"/>
          <w:lang w:val="en-US" w:eastAsia="zh-CN"/>
        </w:rPr>
        <w:t>截至目前，全县共建设残膜回收存放点3个，每年参与残膜回收工作人员300余人，2024年地膜使用量931余吨，回收量为2000余吨（折算回收净重1070余吨）。</w:t>
      </w:r>
    </w:p>
    <w:p w14:paraId="254CC66C">
      <w:pPr>
        <w:pStyle w:val="5"/>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（二）地膜监测统计情况</w:t>
      </w:r>
      <w:r>
        <w:rPr>
          <w:rFonts w:hint="eastAsia" w:ascii="Times New Roman" w:hAnsi="Times New Roman" w:eastAsia="楷体_GB2312" w:cs="Times New Roman"/>
          <w:b/>
          <w:bCs/>
          <w:sz w:val="32"/>
          <w:szCs w:val="32"/>
          <w:highlight w:val="none"/>
          <w:lang w:val="en-US" w:eastAsia="zh-CN"/>
        </w:rPr>
        <w:t>。</w:t>
      </w:r>
      <w:r>
        <w:rPr>
          <w:rFonts w:hint="default" w:ascii="Times New Roman" w:hAnsi="Times New Roman" w:eastAsia="仿宋_GB2312" w:cs="Times New Roman"/>
          <w:color w:val="auto"/>
          <w:sz w:val="32"/>
          <w:szCs w:val="32"/>
          <w:u w:val="none"/>
          <w:lang w:val="en-US" w:eastAsia="zh-CN"/>
        </w:rPr>
        <w:t>2019年，由自治区统一委托第三方监测机构中国农业科学院西部农业研究中心，对</w:t>
      </w:r>
      <w:r>
        <w:rPr>
          <w:rFonts w:hint="default" w:ascii="Times New Roman" w:hAnsi="Times New Roman" w:eastAsia="仿宋_GB2312" w:cs="Times New Roman"/>
          <w:b w:val="0"/>
          <w:bCs/>
          <w:sz w:val="32"/>
          <w:szCs w:val="32"/>
          <w:highlight w:val="none"/>
          <w:lang w:val="en-US" w:eastAsia="zh-CN"/>
        </w:rPr>
        <w:t>和布克赛尔县</w:t>
      </w:r>
      <w:r>
        <w:rPr>
          <w:rFonts w:hint="default" w:ascii="Times New Roman" w:hAnsi="Times New Roman" w:eastAsia="仿宋_GB2312" w:cs="Times New Roman"/>
          <w:color w:val="auto"/>
          <w:sz w:val="32"/>
          <w:szCs w:val="32"/>
          <w:u w:val="none"/>
          <w:lang w:val="en-US" w:eastAsia="zh-CN"/>
        </w:rPr>
        <w:t>开展20个残膜监测点监测情况来看，</w:t>
      </w:r>
      <w:r>
        <w:rPr>
          <w:rFonts w:hint="default" w:ascii="Times New Roman" w:hAnsi="Times New Roman" w:eastAsia="仿宋_GB2312" w:cs="Times New Roman"/>
          <w:b w:val="0"/>
          <w:bCs/>
          <w:sz w:val="32"/>
          <w:szCs w:val="32"/>
          <w:highlight w:val="none"/>
          <w:lang w:val="en-US" w:eastAsia="zh-CN"/>
        </w:rPr>
        <w:t>和布克赛尔县</w:t>
      </w:r>
      <w:r>
        <w:rPr>
          <w:rFonts w:hint="default" w:ascii="Times New Roman" w:hAnsi="Times New Roman" w:eastAsia="仿宋_GB2312" w:cs="Times New Roman"/>
          <w:color w:val="auto"/>
          <w:sz w:val="32"/>
          <w:szCs w:val="32"/>
          <w:u w:val="none"/>
          <w:lang w:val="en-US" w:eastAsia="zh-CN"/>
        </w:rPr>
        <w:t>地膜平均残留量为4.19公斤/亩，其中：瓜类覆膜地块平均残留量4.91公斤/亩，玉米覆膜地块地膜平均残留量3.67公斤/亩，棉花覆膜地块地膜平均残留量6.67公斤/亩。</w:t>
      </w:r>
    </w:p>
    <w:p w14:paraId="51D619B4">
      <w:pPr>
        <w:pStyle w:val="6"/>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3" w:firstLineChars="200"/>
        <w:jc w:val="both"/>
        <w:textAlignment w:val="auto"/>
        <w:outlineLvl w:val="1"/>
        <w:rPr>
          <w:rFonts w:hint="default" w:ascii="Times New Roman" w:hAnsi="Times New Roman" w:eastAsia="仿宋_GB2312" w:cs="Times New Roman"/>
          <w:b w:val="0"/>
          <w:bCs/>
          <w:sz w:val="32"/>
          <w:szCs w:val="32"/>
          <w:highlight w:val="none"/>
          <w:lang w:val="en-US" w:eastAsia="zh-CN"/>
        </w:rPr>
      </w:pPr>
      <w:bookmarkStart w:id="0" w:name="_Toc24689"/>
      <w:r>
        <w:rPr>
          <w:rFonts w:hint="default" w:ascii="Times New Roman" w:hAnsi="Times New Roman" w:eastAsia="楷体_GB2312" w:cs="Times New Roman"/>
          <w:b/>
          <w:bCs/>
          <w:sz w:val="32"/>
          <w:szCs w:val="32"/>
          <w:highlight w:val="none"/>
          <w:lang w:val="en-US" w:eastAsia="zh-CN"/>
        </w:rPr>
        <w:t>（</w:t>
      </w:r>
      <w:r>
        <w:rPr>
          <w:rFonts w:hint="eastAsia" w:ascii="Times New Roman" w:hAnsi="Times New Roman" w:eastAsia="楷体_GB2312" w:cs="Times New Roman"/>
          <w:b/>
          <w:bCs/>
          <w:sz w:val="32"/>
          <w:szCs w:val="32"/>
          <w:highlight w:val="none"/>
          <w:lang w:val="en-US" w:eastAsia="zh-CN"/>
        </w:rPr>
        <w:t>三</w:t>
      </w:r>
      <w:r>
        <w:rPr>
          <w:rFonts w:hint="default" w:ascii="Times New Roman" w:hAnsi="Times New Roman" w:eastAsia="楷体_GB2312" w:cs="Times New Roman"/>
          <w:b/>
          <w:bCs/>
          <w:sz w:val="32"/>
          <w:szCs w:val="32"/>
          <w:highlight w:val="none"/>
          <w:lang w:val="en-US" w:eastAsia="zh-CN"/>
        </w:rPr>
        <w:t>）</w:t>
      </w:r>
      <w:r>
        <w:rPr>
          <w:rFonts w:hint="default" w:ascii="Times New Roman" w:hAnsi="Times New Roman" w:eastAsia="楷体_GB2312" w:cs="Times New Roman"/>
          <w:b/>
          <w:bCs/>
          <w:kern w:val="2"/>
          <w:sz w:val="32"/>
          <w:szCs w:val="32"/>
          <w:highlight w:val="none"/>
          <w:lang w:val="en-US" w:eastAsia="zh-CN" w:bidi="ar-SA"/>
        </w:rPr>
        <w:t>地膜生产和再利用情况。</w:t>
      </w:r>
      <w:r>
        <w:rPr>
          <w:rFonts w:hint="default" w:ascii="Times New Roman" w:hAnsi="Times New Roman" w:eastAsia="仿宋_GB2312" w:cs="Times New Roman"/>
          <w:color w:val="auto"/>
          <w:kern w:val="2"/>
          <w:sz w:val="32"/>
          <w:szCs w:val="32"/>
          <w:u w:val="none"/>
          <w:lang w:val="en-US" w:eastAsia="zh-CN" w:bidi="ar-SA"/>
        </w:rPr>
        <w:t>目前，</w:t>
      </w:r>
      <w:r>
        <w:rPr>
          <w:rFonts w:hint="default" w:ascii="Times New Roman" w:hAnsi="Times New Roman" w:eastAsia="仿宋_GB2312" w:cs="Times New Roman"/>
          <w:b w:val="0"/>
          <w:bCs/>
          <w:sz w:val="32"/>
          <w:szCs w:val="32"/>
          <w:highlight w:val="none"/>
          <w:lang w:val="en-US" w:eastAsia="zh-CN"/>
        </w:rPr>
        <w:t>和布克赛尔</w:t>
      </w:r>
      <w:r>
        <w:rPr>
          <w:rFonts w:hint="default" w:ascii="Times New Roman" w:hAnsi="Times New Roman" w:eastAsia="仿宋_GB2312" w:cs="Times New Roman"/>
          <w:color w:val="auto"/>
          <w:kern w:val="2"/>
          <w:sz w:val="32"/>
          <w:szCs w:val="32"/>
          <w:u w:val="none"/>
          <w:lang w:val="en-US" w:eastAsia="zh-CN" w:bidi="ar-SA"/>
        </w:rPr>
        <w:t>县没有地膜</w:t>
      </w:r>
      <w:r>
        <w:rPr>
          <w:rFonts w:hint="default" w:ascii="Times New Roman" w:hAnsi="Times New Roman" w:eastAsia="仿宋_GB2312" w:cs="Times New Roman"/>
          <w:color w:val="auto"/>
          <w:sz w:val="32"/>
          <w:szCs w:val="32"/>
          <w:u w:val="none"/>
          <w:lang w:val="en-US" w:eastAsia="zh-CN"/>
        </w:rPr>
        <w:t>生产企业，没有地膜销售网点，历年来农户使用地膜均采购于昌吉州、阿勒泰市、兵团184等周边县市。</w:t>
      </w:r>
      <w:bookmarkEnd w:id="0"/>
    </w:p>
    <w:p w14:paraId="1A2317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lang w:eastAsia="zh-CN"/>
        </w:rPr>
      </w:pPr>
      <w:r>
        <w:rPr>
          <w:rFonts w:hint="default" w:ascii="Times New Roman" w:hAnsi="Times New Roman" w:eastAsia="黑体" w:cs="Times New Roman"/>
          <w:sz w:val="32"/>
          <w:szCs w:val="32"/>
          <w:lang w:val="en-US" w:eastAsia="zh-CN"/>
        </w:rPr>
        <w:t>三、实施必要性</w:t>
      </w:r>
    </w:p>
    <w:p w14:paraId="4DEA7901">
      <w:pPr>
        <w:spacing w:line="520" w:lineRule="exact"/>
        <w:ind w:firstLine="640" w:firstLineChars="200"/>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eastAsia="zh-CN"/>
        </w:rPr>
        <w:t>一方面</w:t>
      </w:r>
      <w:r>
        <w:rPr>
          <w:rFonts w:hint="default" w:ascii="Times New Roman" w:hAnsi="Times New Roman" w:eastAsia="仿宋_GB2312" w:cs="Times New Roman"/>
          <w:bCs/>
          <w:sz w:val="32"/>
          <w:szCs w:val="32"/>
        </w:rPr>
        <w:t>我县农户普遍覆盖 0.01毫米标准地膜，</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长期种植棉花、食葵等经济作物</w:t>
      </w:r>
      <w:r>
        <w:rPr>
          <w:rFonts w:hint="eastAsia" w:ascii="Times New Roman" w:hAnsi="Times New Roman" w:eastAsia="仿宋_GB2312" w:cs="Times New Roman"/>
          <w:b w:val="0"/>
          <w:bCs w:val="0"/>
          <w:i w:val="0"/>
          <w:iCs w:val="0"/>
          <w:color w:val="auto"/>
          <w:kern w:val="2"/>
          <w:sz w:val="32"/>
          <w:szCs w:val="32"/>
          <w:highlight w:val="none"/>
          <w:vertAlign w:val="baseline"/>
          <w:lang w:val="en-US" w:eastAsia="zh-CN" w:bidi="ar-SA"/>
        </w:rPr>
        <w:t>，</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地块地膜使用年限在20年以上，由于新材料地膜和地膜回收技术跟不上，塑料地膜长期残留在农田土壤中，造成“白色污染”现象严重</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另一方面由于我县天气影响每年秋季回收时间紧回收任务重。</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通过调查，废旧地膜主要残留于30cm左右的耕层土壤，0-20cm土层占总残留量的80%，严重影响播种质量和出苗率。此外，田间地头散落堆放的残膜严重影响村容村貌，污染农村环境。</w:t>
      </w:r>
      <w:r>
        <w:rPr>
          <w:rFonts w:hint="default" w:ascii="Times New Roman" w:hAnsi="Times New Roman" w:eastAsia="仿宋_GB2312" w:cs="Times New Roman"/>
          <w:bCs/>
          <w:sz w:val="32"/>
          <w:szCs w:val="32"/>
        </w:rPr>
        <w:t>所以推广</w:t>
      </w:r>
      <w:r>
        <w:rPr>
          <w:rFonts w:hint="default" w:ascii="Times New Roman" w:hAnsi="Times New Roman" w:eastAsia="仿宋_GB2312" w:cs="Times New Roman"/>
          <w:bCs/>
          <w:sz w:val="32"/>
          <w:szCs w:val="32"/>
          <w:lang w:val="en-US" w:eastAsia="zh-CN"/>
        </w:rPr>
        <w:t>全生物降解地膜</w:t>
      </w:r>
      <w:r>
        <w:rPr>
          <w:rFonts w:hint="default" w:ascii="Times New Roman" w:hAnsi="Times New Roman" w:eastAsia="仿宋_GB2312" w:cs="Times New Roman"/>
          <w:bCs/>
          <w:sz w:val="32"/>
          <w:szCs w:val="32"/>
        </w:rPr>
        <w:t>是形势发展的需要。</w:t>
      </w:r>
      <w:r>
        <w:rPr>
          <w:rFonts w:hint="default" w:ascii="Times New Roman" w:hAnsi="Times New Roman" w:eastAsia="仿宋_GB2312" w:cs="Times New Roman"/>
          <w:bCs/>
          <w:sz w:val="32"/>
          <w:szCs w:val="32"/>
          <w:lang w:val="en-US" w:eastAsia="zh-CN"/>
        </w:rPr>
        <w:t>截至目前，我县暂无</w:t>
      </w:r>
      <w:r>
        <w:rPr>
          <w:rFonts w:hint="default" w:ascii="Times New Roman" w:hAnsi="Times New Roman" w:eastAsia="仿宋_GB2312" w:cs="Times New Roman"/>
          <w:bCs/>
          <w:sz w:val="32"/>
          <w:szCs w:val="32"/>
          <w:lang w:eastAsia="zh-CN"/>
        </w:rPr>
        <w:t>专业残膜回收循环回收利用企业，</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暂未形成有效的废旧地膜回收利用体系，这些都是当前亟需解决的棘手问题。</w:t>
      </w:r>
      <w:r>
        <w:rPr>
          <w:rFonts w:hint="eastAsia" w:ascii="Times New Roman" w:hAnsi="Times New Roman" w:eastAsia="仿宋_GB2312" w:cs="Times New Roman"/>
          <w:bCs/>
          <w:sz w:val="32"/>
          <w:szCs w:val="32"/>
          <w:lang w:val="en-US" w:eastAsia="zh-CN"/>
        </w:rPr>
        <w:t>通过项目实施，进一步探索有效的残膜回收工作方案，继续改进完善残膜回收机适应性，提高回收质量，降低含杂率，实现残膜回收与资源化再利用有效衔接。</w:t>
      </w:r>
    </w:p>
    <w:p w14:paraId="262F99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四、目标和重点任务</w:t>
      </w:r>
    </w:p>
    <w:p w14:paraId="292FE726">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i w:val="0"/>
          <w:caps w:val="0"/>
          <w:color w:val="000000"/>
          <w:spacing w:val="0"/>
          <w:kern w:val="0"/>
          <w:sz w:val="32"/>
          <w:szCs w:val="32"/>
          <w:u w:val="none"/>
          <w:lang w:val="en-US" w:eastAsia="zh-CN"/>
        </w:rPr>
      </w:pPr>
      <w:r>
        <w:rPr>
          <w:rFonts w:hint="default" w:ascii="Times New Roman" w:hAnsi="Times New Roman" w:eastAsia="楷体_GB2312" w:cs="Times New Roman"/>
          <w:b/>
          <w:i w:val="0"/>
          <w:caps w:val="0"/>
          <w:color w:val="000000"/>
          <w:spacing w:val="0"/>
          <w:kern w:val="0"/>
          <w:sz w:val="32"/>
          <w:szCs w:val="32"/>
          <w:u w:val="none"/>
          <w:lang w:val="en-US" w:eastAsia="zh-CN"/>
        </w:rPr>
        <w:t>任务目标</w:t>
      </w:r>
    </w:p>
    <w:p w14:paraId="5E939B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val="en-US" w:eastAsia="zh-CN"/>
        </w:rPr>
        <w:t>坚持以习近平新时代中国特色社会主义思想为指导，贯彻落实党中央、国务院关于大力治理“白色污染”的要求，按照《自治区农田地膜污染治理五年行动计划（2021-2025年）》安排，以加快推进农业绿色低碳发展和废弃物资源化利用为导向，</w:t>
      </w:r>
      <w:r>
        <w:rPr>
          <w:rFonts w:hint="default" w:ascii="Times New Roman" w:hAnsi="Times New Roman" w:eastAsia="仿宋_GB2312" w:cs="Times New Roman"/>
          <w:bCs/>
          <w:sz w:val="32"/>
          <w:szCs w:val="32"/>
          <w:lang w:eastAsia="zh-CN"/>
        </w:rPr>
        <w:t>做好我县2025年1万亩推广应用全生物降解地膜工作，建立健全科学高效回收利用体系，积极引进专业残膜回收循环回收利用企业，不断健全废旧地膜回收网络体系。</w:t>
      </w:r>
    </w:p>
    <w:p w14:paraId="11E30921">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i w:val="0"/>
          <w:caps w:val="0"/>
          <w:color w:val="000000"/>
          <w:spacing w:val="0"/>
          <w:kern w:val="0"/>
          <w:sz w:val="32"/>
          <w:szCs w:val="32"/>
          <w:u w:val="none"/>
          <w:lang w:val="en-US" w:eastAsia="zh-CN"/>
        </w:rPr>
      </w:pPr>
      <w:r>
        <w:rPr>
          <w:rFonts w:hint="default" w:ascii="Times New Roman" w:hAnsi="Times New Roman" w:eastAsia="楷体_GB2312" w:cs="Times New Roman"/>
          <w:b/>
          <w:i w:val="0"/>
          <w:caps w:val="0"/>
          <w:color w:val="000000"/>
          <w:spacing w:val="0"/>
          <w:kern w:val="0"/>
          <w:sz w:val="32"/>
          <w:szCs w:val="32"/>
          <w:u w:val="none"/>
          <w:lang w:val="en-US" w:eastAsia="zh-CN"/>
        </w:rPr>
        <w:t>重点任务</w:t>
      </w:r>
    </w:p>
    <w:p w14:paraId="21AC9B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1、适用范围。在加工番茄、瓜类、蔬菜、玉米、食用向日葵等适宜作物，按照适度集中原则，稳妥有序使用符合国家标准GB/T 35795—2017的全生物降解地膜（主要成分为具有完全降解特性的脂肪族聚酯、脂肪族一芳香族共聚酯等生物质材料，不得含有聚乙烯、聚丙烯等烯烃类原料，可加入适当比例的淀粉、纤维素等，以及其他无环境危害的无机填充物、功能性助剂）。鼓励开展</w:t>
      </w:r>
      <w:r>
        <w:rPr>
          <w:rFonts w:hint="default" w:ascii="Times New Roman" w:hAnsi="Times New Roman" w:eastAsia="仿宋_GB2312" w:cs="Times New Roman"/>
          <w:bCs/>
          <w:color w:val="auto"/>
          <w:sz w:val="32"/>
          <w:szCs w:val="32"/>
          <w:lang w:val="en-US" w:eastAsia="zh-CN"/>
        </w:rPr>
        <w:t>以1,4</w:t>
      </w:r>
      <w:r>
        <w:rPr>
          <w:rFonts w:hint="eastAsia"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lang w:val="en-US" w:eastAsia="zh-CN"/>
        </w:rPr>
        <w:t>丁二醇(BDO)</w:t>
      </w:r>
      <w:r>
        <w:rPr>
          <w:rFonts w:hint="default" w:ascii="Times New Roman" w:hAnsi="Times New Roman" w:eastAsia="仿宋_GB2312" w:cs="Times New Roman"/>
          <w:bCs/>
          <w:sz w:val="32"/>
          <w:szCs w:val="32"/>
          <w:lang w:val="en-US" w:eastAsia="zh-CN"/>
        </w:rPr>
        <w:t>等为原料、符合国家标准GB/T 35795—2017的全生物降解地膜试点应用。</w:t>
      </w:r>
    </w:p>
    <w:p w14:paraId="52758D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2、补贴方式。</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补贴形式以直接补助为主</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、间接补助为辅</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，按照自主申报，村队核实、乡镇</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100%</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复核，核对购买数量、使用面积后</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；农业农村局联合财政局</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抽查</w:t>
      </w:r>
      <w:r>
        <w:rPr>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30%</w:t>
      </w:r>
      <w:r>
        <w:rPr>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，审核确认后，申请财政部门支付补助资金。</w:t>
      </w:r>
    </w:p>
    <w:p w14:paraId="44C5D1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3、补贴标准。项目补助资金60万元，亩均补助</w:t>
      </w:r>
      <w:r>
        <w:rPr>
          <w:rFonts w:hint="eastAsia" w:ascii="Times New Roman" w:hAnsi="Times New Roman" w:eastAsia="仿宋_GB2312" w:cs="Times New Roman"/>
          <w:bCs/>
          <w:sz w:val="32"/>
          <w:szCs w:val="32"/>
          <w:lang w:val="en-US" w:eastAsia="zh-CN"/>
        </w:rPr>
        <w:t>45</w:t>
      </w:r>
      <w:r>
        <w:rPr>
          <w:rFonts w:hint="default" w:ascii="Times New Roman" w:hAnsi="Times New Roman" w:eastAsia="仿宋_GB2312" w:cs="Times New Roman"/>
          <w:bCs/>
          <w:sz w:val="32"/>
          <w:szCs w:val="32"/>
          <w:lang w:val="en-US" w:eastAsia="zh-CN"/>
        </w:rPr>
        <w:t>元，补助面积1万亩。</w:t>
      </w:r>
    </w:p>
    <w:p w14:paraId="2C01B7AC">
      <w:pPr>
        <w:pStyle w:val="2"/>
        <w:rPr>
          <w:rFonts w:hint="default"/>
          <w:lang w:val="en-US" w:eastAsia="zh-CN"/>
        </w:rPr>
      </w:pPr>
    </w:p>
    <w:p w14:paraId="59B3AA68">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kern w:val="2"/>
          <w:sz w:val="32"/>
          <w:szCs w:val="32"/>
          <w:highlight w:val="none"/>
          <w:lang w:val="en-US" w:eastAsia="zh-CN" w:bidi="ar-SA"/>
        </w:rPr>
        <w:t>表：全生物降解地膜使用项目资金分配及概算表</w:t>
      </w:r>
    </w:p>
    <w:tbl>
      <w:tblPr>
        <w:tblStyle w:val="8"/>
        <w:tblW w:w="9055"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639"/>
        <w:gridCol w:w="1879"/>
        <w:gridCol w:w="722"/>
        <w:gridCol w:w="982"/>
        <w:gridCol w:w="846"/>
        <w:gridCol w:w="897"/>
        <w:gridCol w:w="1380"/>
      </w:tblGrid>
      <w:tr w14:paraId="29D4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uto"/>
            <w:vAlign w:val="center"/>
          </w:tcPr>
          <w:p w14:paraId="620A1EFC">
            <w:pPr>
              <w:jc w:val="center"/>
              <w:rPr>
                <w:rFonts w:hint="default" w:ascii="Times New Roman" w:hAnsi="Times New Roman" w:eastAsia="仿宋_GB2312" w:cs="Times New Roman"/>
                <w:color w:val="000000"/>
                <w:kern w:val="0"/>
                <w:sz w:val="24"/>
                <w:szCs w:val="24"/>
                <w:highlight w:val="none"/>
                <w:lang w:val="en-US" w:eastAsia="zh-CN" w:bidi="ar-SA"/>
              </w:rPr>
            </w:pPr>
            <w:r>
              <w:rPr>
                <w:rFonts w:hint="default" w:ascii="Times New Roman" w:hAnsi="Times New Roman" w:eastAsia="仿宋_GB2312" w:cs="Times New Roman"/>
                <w:color w:val="000000"/>
                <w:kern w:val="0"/>
                <w:sz w:val="24"/>
                <w:szCs w:val="24"/>
                <w:highlight w:val="none"/>
              </w:rPr>
              <w:t>序号</w:t>
            </w:r>
          </w:p>
        </w:tc>
        <w:tc>
          <w:tcPr>
            <w:tcW w:w="1639" w:type="dxa"/>
            <w:shd w:val="clear" w:color="auto" w:fill="auto"/>
            <w:vAlign w:val="center"/>
          </w:tcPr>
          <w:p w14:paraId="4717333E">
            <w:pPr>
              <w:jc w:val="center"/>
              <w:rPr>
                <w:rFonts w:hint="default" w:ascii="Times New Roman" w:hAnsi="Times New Roman" w:eastAsia="仿宋_GB2312" w:cs="Times New Roman"/>
                <w:color w:val="000000"/>
                <w:kern w:val="0"/>
                <w:sz w:val="24"/>
                <w:szCs w:val="24"/>
                <w:highlight w:val="none"/>
                <w:lang w:val="en-US" w:eastAsia="zh-CN" w:bidi="ar-SA"/>
              </w:rPr>
            </w:pPr>
            <w:r>
              <w:rPr>
                <w:rFonts w:hint="default" w:ascii="Times New Roman" w:hAnsi="Times New Roman" w:eastAsia="仿宋_GB2312" w:cs="Times New Roman"/>
                <w:color w:val="000000"/>
                <w:kern w:val="0"/>
                <w:sz w:val="24"/>
                <w:szCs w:val="24"/>
                <w:highlight w:val="none"/>
              </w:rPr>
              <w:t>任 务</w:t>
            </w:r>
          </w:p>
        </w:tc>
        <w:tc>
          <w:tcPr>
            <w:tcW w:w="1879" w:type="dxa"/>
            <w:shd w:val="clear" w:color="auto" w:fill="auto"/>
            <w:vAlign w:val="center"/>
          </w:tcPr>
          <w:p w14:paraId="152F9EBE">
            <w:pPr>
              <w:jc w:val="center"/>
              <w:rPr>
                <w:rFonts w:hint="default" w:ascii="Times New Roman" w:hAnsi="Times New Roman" w:eastAsia="仿宋_GB2312" w:cs="Times New Roman"/>
                <w:color w:val="000000"/>
                <w:kern w:val="0"/>
                <w:sz w:val="24"/>
                <w:szCs w:val="24"/>
                <w:highlight w:val="none"/>
                <w:lang w:val="en-US" w:eastAsia="zh-CN" w:bidi="ar-SA"/>
              </w:rPr>
            </w:pPr>
            <w:r>
              <w:rPr>
                <w:rFonts w:hint="default" w:ascii="Times New Roman" w:hAnsi="Times New Roman" w:eastAsia="仿宋_GB2312" w:cs="Times New Roman"/>
                <w:color w:val="000000"/>
                <w:kern w:val="0"/>
                <w:sz w:val="24"/>
                <w:szCs w:val="24"/>
                <w:highlight w:val="none"/>
              </w:rPr>
              <w:t>内 容</w:t>
            </w:r>
          </w:p>
        </w:tc>
        <w:tc>
          <w:tcPr>
            <w:tcW w:w="722" w:type="dxa"/>
            <w:shd w:val="clear" w:color="auto" w:fill="auto"/>
            <w:vAlign w:val="center"/>
          </w:tcPr>
          <w:p w14:paraId="56D98934">
            <w:pPr>
              <w:jc w:val="center"/>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eastAsia="仿宋_GB2312" w:cs="Times New Roman"/>
                <w:color w:val="000000"/>
                <w:kern w:val="0"/>
                <w:sz w:val="24"/>
                <w:szCs w:val="24"/>
                <w:highlight w:val="none"/>
              </w:rPr>
              <w:t>数量</w:t>
            </w:r>
          </w:p>
        </w:tc>
        <w:tc>
          <w:tcPr>
            <w:tcW w:w="982" w:type="dxa"/>
            <w:shd w:val="clear" w:color="auto" w:fill="auto"/>
            <w:vAlign w:val="center"/>
          </w:tcPr>
          <w:p w14:paraId="5170A87A">
            <w:pPr>
              <w:jc w:val="center"/>
              <w:rPr>
                <w:rFonts w:hint="default" w:ascii="Times New Roman" w:hAnsi="Times New Roman" w:eastAsia="仿宋_GB2312" w:cs="Times New Roman"/>
                <w:color w:val="000000"/>
                <w:kern w:val="0"/>
                <w:sz w:val="24"/>
                <w:szCs w:val="24"/>
                <w:highlight w:val="none"/>
                <w:lang w:val="en-US" w:eastAsia="zh-CN" w:bidi="ar-SA"/>
              </w:rPr>
            </w:pPr>
            <w:r>
              <w:rPr>
                <w:rFonts w:hint="default" w:ascii="Times New Roman" w:hAnsi="Times New Roman" w:eastAsia="仿宋_GB2312" w:cs="Times New Roman"/>
                <w:color w:val="000000"/>
                <w:kern w:val="0"/>
                <w:sz w:val="24"/>
                <w:szCs w:val="24"/>
                <w:highlight w:val="none"/>
              </w:rPr>
              <w:t>单位</w:t>
            </w:r>
          </w:p>
        </w:tc>
        <w:tc>
          <w:tcPr>
            <w:tcW w:w="846" w:type="dxa"/>
            <w:shd w:val="clear" w:color="auto" w:fill="auto"/>
            <w:vAlign w:val="center"/>
          </w:tcPr>
          <w:p w14:paraId="23E7EB17">
            <w:pPr>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补助</w:t>
            </w:r>
          </w:p>
          <w:p w14:paraId="5205D090">
            <w:pPr>
              <w:jc w:val="center"/>
              <w:rPr>
                <w:rFonts w:hint="default" w:ascii="Times New Roman" w:hAnsi="Times New Roman" w:eastAsia="仿宋_GB2312" w:cs="Times New Roman"/>
                <w:color w:val="000000"/>
                <w:kern w:val="0"/>
                <w:sz w:val="24"/>
                <w:szCs w:val="24"/>
                <w:highlight w:val="none"/>
                <w:lang w:val="en-US" w:eastAsia="zh-CN" w:bidi="ar-SA"/>
              </w:rPr>
            </w:pPr>
            <w:r>
              <w:rPr>
                <w:rFonts w:hint="default" w:ascii="Times New Roman" w:hAnsi="Times New Roman" w:eastAsia="仿宋_GB2312" w:cs="Times New Roman"/>
                <w:color w:val="000000"/>
                <w:kern w:val="0"/>
                <w:sz w:val="24"/>
                <w:szCs w:val="24"/>
                <w:highlight w:val="none"/>
              </w:rPr>
              <w:t>标准</w:t>
            </w:r>
          </w:p>
        </w:tc>
        <w:tc>
          <w:tcPr>
            <w:tcW w:w="897" w:type="dxa"/>
            <w:shd w:val="clear" w:color="auto" w:fill="auto"/>
            <w:vAlign w:val="center"/>
          </w:tcPr>
          <w:p w14:paraId="2FE67502">
            <w:pPr>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拟实施</w:t>
            </w:r>
          </w:p>
          <w:p w14:paraId="4478D0AC">
            <w:pPr>
              <w:jc w:val="center"/>
              <w:rPr>
                <w:rFonts w:hint="default" w:ascii="Times New Roman" w:hAnsi="Times New Roman" w:eastAsia="仿宋_GB2312" w:cs="Times New Roman"/>
                <w:color w:val="000000"/>
                <w:kern w:val="0"/>
                <w:sz w:val="24"/>
                <w:szCs w:val="24"/>
                <w:highlight w:val="none"/>
                <w:lang w:val="en-US" w:eastAsia="zh-CN" w:bidi="ar-SA"/>
              </w:rPr>
            </w:pPr>
            <w:r>
              <w:rPr>
                <w:rFonts w:hint="default" w:ascii="Times New Roman" w:hAnsi="Times New Roman" w:eastAsia="仿宋_GB2312" w:cs="Times New Roman"/>
                <w:color w:val="000000"/>
                <w:kern w:val="0"/>
                <w:sz w:val="24"/>
                <w:szCs w:val="24"/>
                <w:highlight w:val="none"/>
              </w:rPr>
              <w:t>单位</w:t>
            </w:r>
          </w:p>
        </w:tc>
        <w:tc>
          <w:tcPr>
            <w:tcW w:w="1380" w:type="dxa"/>
            <w:shd w:val="clear" w:color="auto" w:fill="auto"/>
            <w:vAlign w:val="center"/>
          </w:tcPr>
          <w:p w14:paraId="562D3A58">
            <w:pPr>
              <w:jc w:val="center"/>
              <w:rPr>
                <w:rFonts w:hint="default" w:ascii="Times New Roman" w:hAnsi="Times New Roman" w:eastAsia="仿宋_GB2312" w:cs="Times New Roman"/>
                <w:color w:val="000000"/>
                <w:kern w:val="0"/>
                <w:sz w:val="24"/>
                <w:szCs w:val="24"/>
                <w:highlight w:val="none"/>
                <w:lang w:val="en-US" w:eastAsia="zh-CN" w:bidi="ar-SA"/>
              </w:rPr>
            </w:pPr>
            <w:r>
              <w:rPr>
                <w:rFonts w:hint="default" w:ascii="Times New Roman" w:hAnsi="Times New Roman" w:eastAsia="仿宋_GB2312" w:cs="Times New Roman"/>
                <w:color w:val="000000"/>
                <w:kern w:val="0"/>
                <w:sz w:val="24"/>
                <w:szCs w:val="24"/>
                <w:highlight w:val="none"/>
              </w:rPr>
              <w:t>中央补助资 金（万元）</w:t>
            </w:r>
          </w:p>
        </w:tc>
      </w:tr>
      <w:tr w14:paraId="2B5D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5CB04C32">
            <w:pPr>
              <w:pStyle w:val="5"/>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Cs/>
                <w:color w:val="000000"/>
                <w:kern w:val="0"/>
                <w:sz w:val="20"/>
                <w:szCs w:val="20"/>
                <w:highlight w:val="none"/>
                <w:lang w:val="en-US" w:eastAsia="zh-CN"/>
              </w:rPr>
            </w:pPr>
          </w:p>
          <w:p w14:paraId="5844849B">
            <w:pPr>
              <w:pStyle w:val="5"/>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Cs/>
                <w:color w:val="000000"/>
                <w:kern w:val="0"/>
                <w:sz w:val="20"/>
                <w:szCs w:val="20"/>
                <w:highlight w:val="none"/>
                <w:lang w:val="en-US" w:eastAsia="zh-CN"/>
              </w:rPr>
            </w:pPr>
          </w:p>
          <w:p w14:paraId="2C68C43D">
            <w:pPr>
              <w:pStyle w:val="5"/>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Cs/>
                <w:color w:val="000000"/>
                <w:kern w:val="0"/>
                <w:sz w:val="20"/>
                <w:szCs w:val="20"/>
                <w:highlight w:val="none"/>
                <w:lang w:val="en-US" w:eastAsia="zh-CN"/>
              </w:rPr>
            </w:pPr>
            <w:r>
              <w:rPr>
                <w:rFonts w:hint="default" w:ascii="Times New Roman" w:hAnsi="Times New Roman" w:eastAsia="仿宋_GB2312" w:cs="Times New Roman"/>
                <w:bCs/>
                <w:color w:val="000000"/>
                <w:kern w:val="0"/>
                <w:sz w:val="20"/>
                <w:szCs w:val="20"/>
                <w:highlight w:val="none"/>
                <w:lang w:val="en-US" w:eastAsia="zh-CN"/>
              </w:rPr>
              <w:t>1</w:t>
            </w:r>
          </w:p>
        </w:tc>
        <w:tc>
          <w:tcPr>
            <w:tcW w:w="1639" w:type="dxa"/>
            <w:vMerge w:val="restart"/>
          </w:tcPr>
          <w:p w14:paraId="1F5B0D1F">
            <w:pPr>
              <w:pStyle w:val="5"/>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Cs/>
                <w:color w:val="000000"/>
                <w:kern w:val="0"/>
                <w:sz w:val="20"/>
                <w:szCs w:val="20"/>
                <w:highlight w:val="none"/>
              </w:rPr>
            </w:pPr>
          </w:p>
          <w:p w14:paraId="379E7536">
            <w:pPr>
              <w:pStyle w:val="5"/>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Cs/>
                <w:color w:val="000000"/>
                <w:kern w:val="0"/>
                <w:sz w:val="20"/>
                <w:szCs w:val="20"/>
                <w:highlight w:val="none"/>
                <w:lang w:val="en-US" w:eastAsia="zh-CN"/>
              </w:rPr>
            </w:pPr>
            <w:r>
              <w:rPr>
                <w:rFonts w:hint="default" w:ascii="Times New Roman" w:hAnsi="Times New Roman" w:eastAsia="仿宋_GB2312" w:cs="Times New Roman"/>
                <w:bCs/>
                <w:color w:val="000000"/>
                <w:kern w:val="0"/>
                <w:sz w:val="20"/>
                <w:szCs w:val="20"/>
                <w:highlight w:val="none"/>
              </w:rPr>
              <w:t>全生物降解地膜使用推广</w:t>
            </w:r>
          </w:p>
        </w:tc>
        <w:tc>
          <w:tcPr>
            <w:tcW w:w="1879" w:type="dxa"/>
            <w:shd w:val="clear" w:color="auto" w:fill="auto"/>
            <w:vAlign w:val="center"/>
          </w:tcPr>
          <w:p w14:paraId="6D8EA02E">
            <w:pPr>
              <w:pStyle w:val="5"/>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Cs/>
                <w:color w:val="000000"/>
                <w:kern w:val="0"/>
                <w:sz w:val="20"/>
                <w:szCs w:val="20"/>
                <w:highlight w:val="none"/>
                <w:lang w:val="en-US" w:eastAsia="zh-CN"/>
              </w:rPr>
            </w:pPr>
            <w:r>
              <w:rPr>
                <w:rFonts w:hint="default" w:ascii="Times New Roman" w:hAnsi="Times New Roman" w:eastAsia="仿宋_GB2312" w:cs="Times New Roman"/>
                <w:bCs/>
                <w:color w:val="000000"/>
                <w:kern w:val="0"/>
                <w:sz w:val="20"/>
                <w:szCs w:val="20"/>
                <w:highlight w:val="none"/>
              </w:rPr>
              <w:t>全生物降解地膜使用补助</w:t>
            </w:r>
          </w:p>
        </w:tc>
        <w:tc>
          <w:tcPr>
            <w:tcW w:w="722" w:type="dxa"/>
            <w:shd w:val="clear" w:color="auto" w:fill="auto"/>
            <w:vAlign w:val="center"/>
          </w:tcPr>
          <w:p w14:paraId="333EB24B">
            <w:pPr>
              <w:pStyle w:val="5"/>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Cs/>
                <w:color w:val="000000"/>
                <w:kern w:val="0"/>
                <w:sz w:val="20"/>
                <w:szCs w:val="20"/>
                <w:highlight w:val="none"/>
                <w:lang w:val="en-US" w:eastAsia="zh-CN"/>
              </w:rPr>
            </w:pPr>
            <w:r>
              <w:rPr>
                <w:rFonts w:hint="default" w:ascii="Times New Roman" w:hAnsi="Times New Roman" w:eastAsia="仿宋_GB2312" w:cs="Times New Roman"/>
                <w:bCs/>
                <w:color w:val="000000"/>
                <w:kern w:val="0"/>
                <w:sz w:val="20"/>
                <w:szCs w:val="20"/>
                <w:highlight w:val="none"/>
                <w:lang w:val="en-US" w:eastAsia="zh-CN"/>
              </w:rPr>
              <w:t>1</w:t>
            </w:r>
          </w:p>
        </w:tc>
        <w:tc>
          <w:tcPr>
            <w:tcW w:w="982" w:type="dxa"/>
            <w:shd w:val="clear" w:color="auto" w:fill="auto"/>
            <w:vAlign w:val="center"/>
          </w:tcPr>
          <w:p w14:paraId="6AF2A5FE">
            <w:pPr>
              <w:pStyle w:val="5"/>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Cs/>
                <w:color w:val="000000"/>
                <w:kern w:val="0"/>
                <w:sz w:val="20"/>
                <w:szCs w:val="20"/>
                <w:highlight w:val="none"/>
                <w:lang w:val="en-US" w:eastAsia="zh-CN"/>
              </w:rPr>
            </w:pPr>
            <w:r>
              <w:rPr>
                <w:rFonts w:hint="default" w:ascii="Times New Roman" w:hAnsi="Times New Roman" w:eastAsia="仿宋_GB2312" w:cs="Times New Roman"/>
                <w:bCs/>
                <w:color w:val="000000"/>
                <w:kern w:val="0"/>
                <w:sz w:val="20"/>
                <w:szCs w:val="20"/>
                <w:highlight w:val="none"/>
              </w:rPr>
              <w:t>万亩</w:t>
            </w:r>
          </w:p>
        </w:tc>
        <w:tc>
          <w:tcPr>
            <w:tcW w:w="846" w:type="dxa"/>
            <w:shd w:val="clear" w:color="auto" w:fill="auto"/>
            <w:vAlign w:val="center"/>
          </w:tcPr>
          <w:p w14:paraId="683DDB4E">
            <w:pPr>
              <w:pStyle w:val="5"/>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Cs/>
                <w:color w:val="000000"/>
                <w:kern w:val="0"/>
                <w:sz w:val="20"/>
                <w:szCs w:val="20"/>
                <w:highlight w:val="none"/>
                <w:lang w:val="en-US" w:eastAsia="zh-CN"/>
              </w:rPr>
            </w:pPr>
            <w:r>
              <w:rPr>
                <w:rFonts w:hint="default" w:ascii="Times New Roman" w:hAnsi="Times New Roman" w:eastAsia="仿宋_GB2312" w:cs="Times New Roman"/>
                <w:bCs/>
                <w:color w:val="000000"/>
                <w:kern w:val="0"/>
                <w:sz w:val="20"/>
                <w:szCs w:val="20"/>
                <w:highlight w:val="none"/>
                <w:lang w:val="en-US" w:eastAsia="zh-CN"/>
              </w:rPr>
              <w:t>45</w:t>
            </w:r>
          </w:p>
        </w:tc>
        <w:tc>
          <w:tcPr>
            <w:tcW w:w="897" w:type="dxa"/>
            <w:shd w:val="clear" w:color="auto" w:fill="auto"/>
            <w:vAlign w:val="center"/>
          </w:tcPr>
          <w:p w14:paraId="34C730AE">
            <w:pPr>
              <w:pStyle w:val="5"/>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Cs/>
                <w:color w:val="000000"/>
                <w:kern w:val="0"/>
                <w:sz w:val="20"/>
                <w:szCs w:val="20"/>
                <w:highlight w:val="none"/>
                <w:lang w:val="en-US" w:eastAsia="zh-CN"/>
              </w:rPr>
            </w:pPr>
            <w:r>
              <w:rPr>
                <w:rFonts w:hint="default" w:ascii="Times New Roman" w:hAnsi="Times New Roman" w:eastAsia="仿宋_GB2312" w:cs="Times New Roman"/>
                <w:bCs/>
                <w:color w:val="000000"/>
                <w:kern w:val="0"/>
                <w:sz w:val="20"/>
                <w:szCs w:val="20"/>
                <w:highlight w:val="none"/>
              </w:rPr>
              <w:t>农户或合作社</w:t>
            </w:r>
          </w:p>
        </w:tc>
        <w:tc>
          <w:tcPr>
            <w:tcW w:w="1380" w:type="dxa"/>
          </w:tcPr>
          <w:p w14:paraId="64EC03E7">
            <w:pPr>
              <w:bidi w:val="0"/>
              <w:jc w:val="center"/>
              <w:rPr>
                <w:rFonts w:hint="default" w:ascii="Times New Roman" w:hAnsi="Times New Roman" w:cs="Times New Roman"/>
                <w:lang w:val="en-US" w:eastAsia="zh-CN"/>
              </w:rPr>
            </w:pPr>
          </w:p>
          <w:p w14:paraId="3F47A2F0">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45</w:t>
            </w:r>
          </w:p>
        </w:tc>
      </w:tr>
      <w:tr w14:paraId="7A05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1890F4E8">
            <w:pPr>
              <w:pStyle w:val="5"/>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Cs/>
                <w:color w:val="000000"/>
                <w:kern w:val="0"/>
                <w:sz w:val="20"/>
                <w:szCs w:val="20"/>
                <w:highlight w:val="none"/>
                <w:lang w:val="en-US" w:eastAsia="zh-CN"/>
              </w:rPr>
            </w:pPr>
          </w:p>
        </w:tc>
        <w:tc>
          <w:tcPr>
            <w:tcW w:w="1639" w:type="dxa"/>
            <w:vMerge w:val="continue"/>
          </w:tcPr>
          <w:p w14:paraId="428D7A00">
            <w:pPr>
              <w:pStyle w:val="5"/>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Cs/>
                <w:color w:val="000000"/>
                <w:kern w:val="0"/>
                <w:sz w:val="20"/>
                <w:szCs w:val="20"/>
                <w:highlight w:val="none"/>
                <w:lang w:val="en-US" w:eastAsia="zh-CN"/>
              </w:rPr>
            </w:pPr>
          </w:p>
        </w:tc>
        <w:tc>
          <w:tcPr>
            <w:tcW w:w="1879" w:type="dxa"/>
            <w:shd w:val="clear" w:color="auto" w:fill="auto"/>
            <w:vAlign w:val="center"/>
          </w:tcPr>
          <w:p w14:paraId="2358D2CF">
            <w:pPr>
              <w:pStyle w:val="5"/>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Cs/>
                <w:color w:val="000000"/>
                <w:kern w:val="0"/>
                <w:sz w:val="20"/>
                <w:szCs w:val="20"/>
                <w:highlight w:val="none"/>
                <w:lang w:val="en-US" w:eastAsia="zh-CN"/>
              </w:rPr>
            </w:pPr>
            <w:r>
              <w:rPr>
                <w:rFonts w:hint="default" w:ascii="Times New Roman" w:hAnsi="Times New Roman" w:eastAsia="仿宋_GB2312" w:cs="Times New Roman"/>
                <w:bCs/>
                <w:color w:val="000000"/>
                <w:kern w:val="0"/>
                <w:sz w:val="20"/>
                <w:szCs w:val="20"/>
                <w:highlight w:val="none"/>
              </w:rPr>
              <w:t>全生物降解地膜使用跟踪评价</w:t>
            </w:r>
          </w:p>
        </w:tc>
        <w:tc>
          <w:tcPr>
            <w:tcW w:w="722" w:type="dxa"/>
            <w:shd w:val="clear" w:color="auto" w:fill="auto"/>
            <w:vAlign w:val="center"/>
          </w:tcPr>
          <w:p w14:paraId="3230596E">
            <w:pPr>
              <w:pStyle w:val="5"/>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Cs/>
                <w:color w:val="000000"/>
                <w:kern w:val="0"/>
                <w:sz w:val="20"/>
                <w:szCs w:val="20"/>
                <w:highlight w:val="none"/>
                <w:lang w:val="en-US" w:eastAsia="zh-CN"/>
              </w:rPr>
            </w:pPr>
            <w:r>
              <w:rPr>
                <w:rFonts w:hint="default" w:ascii="Times New Roman" w:hAnsi="Times New Roman" w:eastAsia="仿宋_GB2312" w:cs="Times New Roman"/>
                <w:bCs/>
                <w:color w:val="000000"/>
                <w:kern w:val="0"/>
                <w:sz w:val="20"/>
                <w:szCs w:val="20"/>
                <w:highlight w:val="none"/>
              </w:rPr>
              <w:t>1</w:t>
            </w:r>
          </w:p>
        </w:tc>
        <w:tc>
          <w:tcPr>
            <w:tcW w:w="982" w:type="dxa"/>
            <w:shd w:val="clear" w:color="auto" w:fill="auto"/>
            <w:vAlign w:val="center"/>
          </w:tcPr>
          <w:p w14:paraId="6021629A">
            <w:pPr>
              <w:pStyle w:val="5"/>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Cs/>
                <w:color w:val="000000"/>
                <w:kern w:val="0"/>
                <w:sz w:val="20"/>
                <w:szCs w:val="20"/>
                <w:highlight w:val="none"/>
                <w:lang w:val="en-US" w:eastAsia="zh-CN"/>
              </w:rPr>
            </w:pPr>
            <w:r>
              <w:rPr>
                <w:rFonts w:hint="default" w:ascii="Times New Roman" w:hAnsi="Times New Roman" w:eastAsia="仿宋_GB2312" w:cs="Times New Roman"/>
                <w:bCs/>
                <w:color w:val="000000"/>
                <w:kern w:val="0"/>
                <w:sz w:val="20"/>
                <w:szCs w:val="20"/>
                <w:highlight w:val="none"/>
              </w:rPr>
              <w:t>项</w:t>
            </w:r>
          </w:p>
        </w:tc>
        <w:tc>
          <w:tcPr>
            <w:tcW w:w="846" w:type="dxa"/>
            <w:shd w:val="clear" w:color="auto" w:fill="auto"/>
            <w:vAlign w:val="center"/>
          </w:tcPr>
          <w:p w14:paraId="11255B88">
            <w:pPr>
              <w:pStyle w:val="5"/>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Cs/>
                <w:color w:val="000000"/>
                <w:kern w:val="0"/>
                <w:sz w:val="20"/>
                <w:szCs w:val="20"/>
                <w:highlight w:val="none"/>
                <w:lang w:val="en-US" w:eastAsia="zh-CN"/>
              </w:rPr>
            </w:pPr>
            <w:r>
              <w:rPr>
                <w:rFonts w:hint="default" w:ascii="Times New Roman" w:hAnsi="Times New Roman" w:eastAsia="仿宋_GB2312" w:cs="Times New Roman"/>
                <w:bCs/>
                <w:color w:val="000000"/>
                <w:kern w:val="0"/>
                <w:sz w:val="20"/>
                <w:szCs w:val="20"/>
                <w:highlight w:val="none"/>
              </w:rPr>
              <w:t>10</w:t>
            </w:r>
          </w:p>
        </w:tc>
        <w:tc>
          <w:tcPr>
            <w:tcW w:w="897" w:type="dxa"/>
            <w:shd w:val="clear" w:color="auto" w:fill="auto"/>
            <w:vAlign w:val="center"/>
          </w:tcPr>
          <w:p w14:paraId="4A8C7572">
            <w:pPr>
              <w:pStyle w:val="5"/>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Cs/>
                <w:color w:val="000000"/>
                <w:kern w:val="0"/>
                <w:sz w:val="20"/>
                <w:szCs w:val="20"/>
                <w:highlight w:val="none"/>
                <w:lang w:val="en-US" w:eastAsia="zh-CN"/>
              </w:rPr>
            </w:pPr>
            <w:r>
              <w:rPr>
                <w:rFonts w:hint="default" w:ascii="Times New Roman" w:hAnsi="Times New Roman" w:eastAsia="仿宋_GB2312" w:cs="Times New Roman"/>
                <w:bCs/>
                <w:color w:val="000000"/>
                <w:kern w:val="0"/>
                <w:sz w:val="20"/>
                <w:szCs w:val="20"/>
                <w:highlight w:val="none"/>
              </w:rPr>
              <w:t>第三方</w:t>
            </w:r>
          </w:p>
        </w:tc>
        <w:tc>
          <w:tcPr>
            <w:tcW w:w="1380" w:type="dxa"/>
          </w:tcPr>
          <w:p w14:paraId="5A5D4070">
            <w:pPr>
              <w:pStyle w:val="5"/>
              <w:keepNext w:val="0"/>
              <w:keepLines w:val="0"/>
              <w:pageBreakBefore w:val="0"/>
              <w:widowControl w:val="0"/>
              <w:kinsoku/>
              <w:wordWrap/>
              <w:overflowPunct/>
              <w:topLinePunct w:val="0"/>
              <w:autoSpaceDE/>
              <w:autoSpaceDN/>
              <w:bidi w:val="0"/>
              <w:adjustRightInd/>
              <w:snapToGrid/>
              <w:spacing w:line="540" w:lineRule="exact"/>
              <w:ind w:firstLine="40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bCs/>
                <w:color w:val="000000"/>
                <w:kern w:val="0"/>
                <w:sz w:val="20"/>
                <w:szCs w:val="20"/>
                <w:highlight w:val="none"/>
                <w:lang w:val="en-US" w:eastAsia="zh-CN"/>
              </w:rPr>
              <w:t>10</w:t>
            </w:r>
          </w:p>
        </w:tc>
      </w:tr>
      <w:tr w14:paraId="5EAF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1A79391">
            <w:pPr>
              <w:pStyle w:val="5"/>
              <w:keepNext w:val="0"/>
              <w:keepLines w:val="0"/>
              <w:pageBreakBefore w:val="0"/>
              <w:widowControl w:val="0"/>
              <w:kinsoku/>
              <w:wordWrap/>
              <w:overflowPunct/>
              <w:topLinePunct w:val="0"/>
              <w:autoSpaceDE/>
              <w:autoSpaceDN/>
              <w:bidi w:val="0"/>
              <w:adjustRightInd/>
              <w:snapToGrid/>
              <w:spacing w:line="540" w:lineRule="exact"/>
              <w:ind w:firstLine="200" w:firstLineChars="100"/>
              <w:jc w:val="both"/>
              <w:textAlignment w:val="auto"/>
              <w:rPr>
                <w:rFonts w:hint="default" w:ascii="Times New Roman" w:hAnsi="Times New Roman" w:eastAsia="仿宋_GB2312" w:cs="Times New Roman"/>
                <w:bCs/>
                <w:color w:val="000000"/>
                <w:kern w:val="0"/>
                <w:sz w:val="20"/>
                <w:szCs w:val="20"/>
                <w:highlight w:val="none"/>
                <w:lang w:val="en-US" w:eastAsia="zh-CN"/>
              </w:rPr>
            </w:pPr>
            <w:r>
              <w:rPr>
                <w:rFonts w:hint="default" w:ascii="Times New Roman" w:hAnsi="Times New Roman" w:eastAsia="仿宋_GB2312" w:cs="Times New Roman"/>
                <w:bCs/>
                <w:color w:val="000000"/>
                <w:kern w:val="0"/>
                <w:sz w:val="20"/>
                <w:szCs w:val="20"/>
                <w:highlight w:val="none"/>
                <w:lang w:val="en-US" w:eastAsia="zh-CN"/>
              </w:rPr>
              <w:t>2</w:t>
            </w:r>
          </w:p>
        </w:tc>
        <w:tc>
          <w:tcPr>
            <w:tcW w:w="1639" w:type="dxa"/>
            <w:shd w:val="clear" w:color="auto" w:fill="auto"/>
            <w:vAlign w:val="center"/>
          </w:tcPr>
          <w:p w14:paraId="6C1BDB28">
            <w:pPr>
              <w:pStyle w:val="5"/>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Cs/>
                <w:color w:val="000000"/>
                <w:kern w:val="0"/>
                <w:sz w:val="20"/>
                <w:szCs w:val="20"/>
                <w:highlight w:val="none"/>
                <w:lang w:val="en-US" w:eastAsia="zh-CN"/>
              </w:rPr>
            </w:pPr>
            <w:r>
              <w:rPr>
                <w:rFonts w:hint="default" w:ascii="Times New Roman" w:hAnsi="Times New Roman" w:eastAsia="仿宋_GB2312" w:cs="Times New Roman"/>
                <w:bCs/>
                <w:color w:val="000000"/>
                <w:kern w:val="0"/>
                <w:sz w:val="20"/>
                <w:szCs w:val="20"/>
                <w:highlight w:val="none"/>
              </w:rPr>
              <w:t>地膜残留监测</w:t>
            </w:r>
          </w:p>
        </w:tc>
        <w:tc>
          <w:tcPr>
            <w:tcW w:w="1879" w:type="dxa"/>
            <w:shd w:val="clear" w:color="auto" w:fill="auto"/>
            <w:vAlign w:val="center"/>
          </w:tcPr>
          <w:p w14:paraId="45B5F98B">
            <w:pPr>
              <w:pStyle w:val="5"/>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Cs/>
                <w:color w:val="000000"/>
                <w:kern w:val="0"/>
                <w:sz w:val="20"/>
                <w:szCs w:val="20"/>
                <w:highlight w:val="none"/>
                <w:lang w:val="en-US" w:eastAsia="zh-CN"/>
              </w:rPr>
            </w:pPr>
            <w:r>
              <w:rPr>
                <w:rFonts w:hint="default" w:ascii="Times New Roman" w:hAnsi="Times New Roman" w:eastAsia="仿宋_GB2312" w:cs="Times New Roman"/>
                <w:bCs/>
                <w:color w:val="000000"/>
                <w:kern w:val="0"/>
                <w:sz w:val="20"/>
                <w:szCs w:val="20"/>
                <w:highlight w:val="none"/>
              </w:rPr>
              <w:t>残膜回收监测网点数据采集和分析</w:t>
            </w:r>
          </w:p>
        </w:tc>
        <w:tc>
          <w:tcPr>
            <w:tcW w:w="722" w:type="dxa"/>
            <w:shd w:val="clear" w:color="auto" w:fill="auto"/>
            <w:vAlign w:val="center"/>
          </w:tcPr>
          <w:p w14:paraId="77A53B59">
            <w:pPr>
              <w:pStyle w:val="5"/>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Cs/>
                <w:color w:val="000000"/>
                <w:kern w:val="0"/>
                <w:sz w:val="20"/>
                <w:szCs w:val="20"/>
                <w:highlight w:val="none"/>
                <w:lang w:val="en-US" w:eastAsia="zh-CN"/>
              </w:rPr>
            </w:pPr>
            <w:r>
              <w:rPr>
                <w:rFonts w:hint="default" w:ascii="Times New Roman" w:hAnsi="Times New Roman" w:eastAsia="仿宋_GB2312" w:cs="Times New Roman"/>
                <w:bCs/>
                <w:color w:val="000000"/>
                <w:kern w:val="0"/>
                <w:sz w:val="20"/>
                <w:szCs w:val="20"/>
                <w:highlight w:val="none"/>
              </w:rPr>
              <w:t>20</w:t>
            </w:r>
          </w:p>
        </w:tc>
        <w:tc>
          <w:tcPr>
            <w:tcW w:w="982" w:type="dxa"/>
            <w:shd w:val="clear" w:color="auto" w:fill="auto"/>
            <w:vAlign w:val="center"/>
          </w:tcPr>
          <w:p w14:paraId="4384D7A7">
            <w:pPr>
              <w:pStyle w:val="5"/>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Cs/>
                <w:color w:val="000000"/>
                <w:kern w:val="0"/>
                <w:sz w:val="20"/>
                <w:szCs w:val="20"/>
                <w:highlight w:val="none"/>
                <w:lang w:val="en-US" w:eastAsia="zh-CN"/>
              </w:rPr>
            </w:pPr>
            <w:r>
              <w:rPr>
                <w:rFonts w:hint="default" w:ascii="Times New Roman" w:hAnsi="Times New Roman" w:eastAsia="仿宋_GB2312" w:cs="Times New Roman"/>
                <w:bCs/>
                <w:color w:val="000000"/>
                <w:kern w:val="0"/>
                <w:sz w:val="20"/>
                <w:szCs w:val="20"/>
                <w:highlight w:val="none"/>
              </w:rPr>
              <w:t>个</w:t>
            </w:r>
          </w:p>
        </w:tc>
        <w:tc>
          <w:tcPr>
            <w:tcW w:w="846" w:type="dxa"/>
            <w:shd w:val="clear" w:color="auto" w:fill="auto"/>
            <w:vAlign w:val="center"/>
          </w:tcPr>
          <w:p w14:paraId="63FC0591">
            <w:pPr>
              <w:pStyle w:val="5"/>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Cs/>
                <w:color w:val="000000"/>
                <w:kern w:val="0"/>
                <w:sz w:val="20"/>
                <w:szCs w:val="20"/>
                <w:highlight w:val="none"/>
                <w:lang w:val="en-US" w:eastAsia="zh-CN"/>
              </w:rPr>
            </w:pPr>
            <w:r>
              <w:rPr>
                <w:rFonts w:hint="default" w:ascii="Times New Roman" w:hAnsi="Times New Roman" w:eastAsia="仿宋_GB2312" w:cs="Times New Roman"/>
                <w:bCs/>
                <w:color w:val="000000"/>
                <w:kern w:val="0"/>
                <w:sz w:val="20"/>
                <w:szCs w:val="20"/>
                <w:highlight w:val="none"/>
              </w:rPr>
              <w:t>0.25万元/个</w:t>
            </w:r>
          </w:p>
        </w:tc>
        <w:tc>
          <w:tcPr>
            <w:tcW w:w="897" w:type="dxa"/>
            <w:shd w:val="clear" w:color="auto" w:fill="auto"/>
            <w:vAlign w:val="center"/>
          </w:tcPr>
          <w:p w14:paraId="55B180F6">
            <w:pPr>
              <w:pStyle w:val="5"/>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Cs/>
                <w:color w:val="000000"/>
                <w:kern w:val="0"/>
                <w:sz w:val="20"/>
                <w:szCs w:val="20"/>
                <w:highlight w:val="none"/>
                <w:lang w:val="en-US" w:eastAsia="zh-CN"/>
              </w:rPr>
            </w:pPr>
            <w:r>
              <w:rPr>
                <w:rFonts w:hint="default" w:ascii="Times New Roman" w:hAnsi="Times New Roman" w:eastAsia="仿宋_GB2312" w:cs="Times New Roman"/>
                <w:bCs/>
                <w:color w:val="000000"/>
                <w:kern w:val="0"/>
                <w:sz w:val="20"/>
                <w:szCs w:val="20"/>
                <w:highlight w:val="none"/>
              </w:rPr>
              <w:t>第三方</w:t>
            </w:r>
          </w:p>
        </w:tc>
        <w:tc>
          <w:tcPr>
            <w:tcW w:w="1380" w:type="dxa"/>
            <w:vAlign w:val="center"/>
          </w:tcPr>
          <w:p w14:paraId="498DC7DE">
            <w:pPr>
              <w:pStyle w:val="5"/>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Cs/>
                <w:color w:val="000000"/>
                <w:kern w:val="0"/>
                <w:sz w:val="20"/>
                <w:szCs w:val="20"/>
                <w:highlight w:val="none"/>
                <w:lang w:val="en-US" w:eastAsia="zh-CN"/>
              </w:rPr>
            </w:pPr>
            <w:r>
              <w:rPr>
                <w:rFonts w:hint="default" w:ascii="Times New Roman" w:hAnsi="Times New Roman" w:eastAsia="仿宋_GB2312" w:cs="Times New Roman"/>
                <w:bCs/>
                <w:color w:val="000000"/>
                <w:kern w:val="0"/>
                <w:sz w:val="20"/>
                <w:szCs w:val="20"/>
                <w:highlight w:val="none"/>
              </w:rPr>
              <w:t>5</w:t>
            </w:r>
          </w:p>
        </w:tc>
      </w:tr>
      <w:tr w14:paraId="4AE3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C872F91">
            <w:pPr>
              <w:pStyle w:val="5"/>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Cs/>
                <w:color w:val="000000"/>
                <w:kern w:val="0"/>
                <w:sz w:val="20"/>
                <w:szCs w:val="20"/>
                <w:highlight w:val="none"/>
                <w:lang w:val="en-US" w:eastAsia="zh-CN"/>
              </w:rPr>
              <w:t>合计</w:t>
            </w:r>
          </w:p>
        </w:tc>
        <w:tc>
          <w:tcPr>
            <w:tcW w:w="1639" w:type="dxa"/>
            <w:shd w:val="clear" w:color="auto" w:fill="auto"/>
            <w:vAlign w:val="center"/>
          </w:tcPr>
          <w:p w14:paraId="5C067801">
            <w:pPr>
              <w:rPr>
                <w:rFonts w:hint="default" w:ascii="Times New Roman" w:hAnsi="Times New Roman" w:eastAsia="仿宋_GB2312" w:cs="Times New Roman"/>
                <w:bCs/>
                <w:color w:val="000000"/>
                <w:kern w:val="0"/>
                <w:sz w:val="20"/>
                <w:szCs w:val="20"/>
                <w:highlight w:val="none"/>
              </w:rPr>
            </w:pPr>
          </w:p>
        </w:tc>
        <w:tc>
          <w:tcPr>
            <w:tcW w:w="1879" w:type="dxa"/>
            <w:shd w:val="clear" w:color="auto" w:fill="auto"/>
            <w:vAlign w:val="center"/>
          </w:tcPr>
          <w:p w14:paraId="11955FE1">
            <w:pPr>
              <w:rPr>
                <w:rFonts w:hint="default" w:ascii="Times New Roman" w:hAnsi="Times New Roman" w:eastAsia="仿宋_GB2312" w:cs="Times New Roman"/>
                <w:color w:val="000000"/>
                <w:kern w:val="0"/>
                <w:sz w:val="20"/>
                <w:szCs w:val="20"/>
                <w:highlight w:val="none"/>
              </w:rPr>
            </w:pPr>
          </w:p>
        </w:tc>
        <w:tc>
          <w:tcPr>
            <w:tcW w:w="722" w:type="dxa"/>
            <w:shd w:val="clear" w:color="auto" w:fill="auto"/>
            <w:vAlign w:val="center"/>
          </w:tcPr>
          <w:p w14:paraId="24F32A4D">
            <w:pPr>
              <w:jc w:val="center"/>
              <w:rPr>
                <w:rFonts w:hint="default" w:ascii="Times New Roman" w:hAnsi="Times New Roman" w:eastAsia="仿宋_GB2312" w:cs="Times New Roman"/>
                <w:bCs/>
                <w:color w:val="000000"/>
                <w:kern w:val="0"/>
                <w:highlight w:val="none"/>
              </w:rPr>
            </w:pPr>
          </w:p>
        </w:tc>
        <w:tc>
          <w:tcPr>
            <w:tcW w:w="982" w:type="dxa"/>
            <w:shd w:val="clear" w:color="auto" w:fill="auto"/>
            <w:vAlign w:val="center"/>
          </w:tcPr>
          <w:p w14:paraId="2FAFEA97">
            <w:pPr>
              <w:jc w:val="center"/>
              <w:rPr>
                <w:rFonts w:hint="default" w:ascii="Times New Roman" w:hAnsi="Times New Roman" w:eastAsia="仿宋_GB2312" w:cs="Times New Roman"/>
                <w:bCs/>
                <w:color w:val="000000"/>
                <w:kern w:val="0"/>
                <w:highlight w:val="none"/>
              </w:rPr>
            </w:pPr>
          </w:p>
        </w:tc>
        <w:tc>
          <w:tcPr>
            <w:tcW w:w="846" w:type="dxa"/>
            <w:shd w:val="clear" w:color="auto" w:fill="auto"/>
            <w:vAlign w:val="center"/>
          </w:tcPr>
          <w:p w14:paraId="3646088B">
            <w:pPr>
              <w:jc w:val="center"/>
              <w:rPr>
                <w:rFonts w:hint="default" w:ascii="Times New Roman" w:hAnsi="Times New Roman" w:eastAsia="仿宋_GB2312" w:cs="Times New Roman"/>
                <w:bCs/>
                <w:color w:val="000000"/>
                <w:kern w:val="0"/>
                <w:highlight w:val="none"/>
              </w:rPr>
            </w:pPr>
          </w:p>
        </w:tc>
        <w:tc>
          <w:tcPr>
            <w:tcW w:w="897" w:type="dxa"/>
            <w:shd w:val="clear" w:color="auto" w:fill="auto"/>
            <w:vAlign w:val="center"/>
          </w:tcPr>
          <w:p w14:paraId="521481EB">
            <w:pPr>
              <w:jc w:val="center"/>
              <w:rPr>
                <w:rFonts w:hint="default" w:ascii="Times New Roman" w:hAnsi="Times New Roman" w:eastAsia="仿宋_GB2312" w:cs="Times New Roman"/>
                <w:bCs/>
                <w:color w:val="000000"/>
                <w:kern w:val="0"/>
                <w:highlight w:val="none"/>
              </w:rPr>
            </w:pPr>
          </w:p>
        </w:tc>
        <w:tc>
          <w:tcPr>
            <w:tcW w:w="1380" w:type="dxa"/>
            <w:vAlign w:val="center"/>
          </w:tcPr>
          <w:p w14:paraId="2BB6B170">
            <w:pPr>
              <w:jc w:val="center"/>
              <w:rPr>
                <w:rFonts w:hint="default" w:ascii="Times New Roman" w:hAnsi="Times New Roman" w:eastAsia="仿宋_GB2312" w:cs="Times New Roman"/>
                <w:bCs/>
                <w:color w:val="000000"/>
                <w:kern w:val="0"/>
                <w:highlight w:val="none"/>
                <w:lang w:val="en-US" w:eastAsia="zh-CN"/>
              </w:rPr>
            </w:pPr>
            <w:r>
              <w:rPr>
                <w:rFonts w:hint="default" w:ascii="Times New Roman" w:hAnsi="Times New Roman" w:eastAsia="仿宋_GB2312" w:cs="Times New Roman"/>
                <w:bCs/>
                <w:color w:val="000000"/>
                <w:kern w:val="0"/>
                <w:highlight w:val="none"/>
                <w:lang w:val="en-US" w:eastAsia="zh-CN"/>
              </w:rPr>
              <w:t>60</w:t>
            </w:r>
          </w:p>
        </w:tc>
      </w:tr>
    </w:tbl>
    <w:p w14:paraId="07FB39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p>
    <w:p w14:paraId="0D6826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五、保障措施。</w:t>
      </w:r>
    </w:p>
    <w:p w14:paraId="66CE9B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楷体_GB2312" w:cs="Times New Roman"/>
          <w:b w:val="0"/>
          <w:bCs/>
          <w:i w:val="0"/>
          <w:caps w:val="0"/>
          <w:color w:val="000000"/>
          <w:spacing w:val="0"/>
          <w:kern w:val="0"/>
          <w:sz w:val="32"/>
          <w:szCs w:val="32"/>
          <w:u w:val="none"/>
          <w:lang w:val="en-US" w:eastAsia="zh-CN"/>
        </w:rPr>
        <w:t>（一）强化组织领导。</w:t>
      </w:r>
      <w:r>
        <w:rPr>
          <w:rFonts w:hint="default" w:ascii="Times New Roman" w:hAnsi="Times New Roman" w:eastAsia="仿宋_GB2312" w:cs="Times New Roman"/>
          <w:bCs/>
          <w:sz w:val="32"/>
          <w:szCs w:val="32"/>
          <w:lang w:val="en-US" w:eastAsia="zh-CN"/>
        </w:rPr>
        <w:t>本项目由和布克赛尔县人民政府牵头领导，组织县农业农村局、塔城地区生态环境局和布克赛尔县分局、县财政局具体实施。统筹规划，协同推进。由县农业农村局制定具体的项目实施方案，保障项目的有效运行。县财政局负责项目资金的拨付，保障资金专款专用，塔城地区生态环境局和布克赛尔县分局和农业行政执法大队负责执法宣传，各乡镇人民政府负责各示范区具体落实。建立地膜科学使用回收利用体系的长效运行机制。</w:t>
      </w:r>
    </w:p>
    <w:p w14:paraId="5E6ED3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楷体_GB2312" w:cs="Times New Roman"/>
          <w:b w:val="0"/>
          <w:bCs/>
          <w:i w:val="0"/>
          <w:caps w:val="0"/>
          <w:color w:val="000000"/>
          <w:spacing w:val="0"/>
          <w:kern w:val="0"/>
          <w:sz w:val="32"/>
          <w:szCs w:val="32"/>
          <w:u w:val="none"/>
          <w:lang w:val="en-US" w:eastAsia="zh-CN"/>
        </w:rPr>
        <w:t>（二）强化资金管理。</w:t>
      </w:r>
      <w:r>
        <w:rPr>
          <w:rFonts w:hint="default" w:ascii="Times New Roman" w:hAnsi="Times New Roman" w:eastAsia="仿宋_GB2312" w:cs="Times New Roman"/>
          <w:bCs/>
          <w:sz w:val="32"/>
          <w:szCs w:val="32"/>
          <w:lang w:val="en-US" w:eastAsia="zh-CN"/>
        </w:rPr>
        <w:t>抓好补助资金落实落地工作，定期调度和报送资金使用进度。加强绩效考核评价，保障资金规范使用，做到专款专用，采用适当形式公示补贴发放情况，接受社会监督。严格杜绝弄虚作假行为，不得套取、挤占、截留、挪用补贴资金，确保资金充分发挥效益。</w:t>
      </w:r>
    </w:p>
    <w:p w14:paraId="5AC6826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六、效益分析</w:t>
      </w:r>
    </w:p>
    <w:p w14:paraId="1A7E00B0">
      <w:pPr>
        <w:tabs>
          <w:tab w:val="left" w:pos="1260"/>
        </w:tabs>
        <w:snapToGrid w:val="0"/>
        <w:spacing w:line="560" w:lineRule="exact"/>
        <w:ind w:firstLine="640" w:firstLineChars="200"/>
        <w:jc w:val="both"/>
        <w:textAlignment w:val="baseline"/>
        <w:rPr>
          <w:rFonts w:hint="default" w:ascii="Times New Roman" w:hAnsi="Times New Roman" w:cs="Times New Roman"/>
        </w:rPr>
      </w:pPr>
      <w:r>
        <w:rPr>
          <w:rFonts w:hint="default" w:ascii="Times New Roman" w:hAnsi="Times New Roman" w:eastAsia="楷体_GB2312" w:cs="Times New Roman"/>
          <w:b w:val="0"/>
          <w:bCs/>
          <w:sz w:val="32"/>
          <w:szCs w:val="32"/>
          <w:highlight w:val="none"/>
          <w:lang w:val="en-US" w:eastAsia="zh-CN"/>
        </w:rPr>
        <w:t>（一）经济效益。</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相较于传统地膜全生物降解膜的价格可能略高，但其短期和长期的经济效益更为显著。本项目建设实施后，由于没有残膜污染</w:t>
      </w:r>
      <w:r>
        <w:rPr>
          <w:rFonts w:hint="eastAsia" w:ascii="Times New Roman" w:hAnsi="Times New Roman" w:eastAsia="仿宋_GB2312" w:cs="Times New Roman"/>
          <w:b w:val="0"/>
          <w:bCs w:val="0"/>
          <w:i w:val="0"/>
          <w:iCs w:val="0"/>
          <w:color w:val="auto"/>
          <w:kern w:val="2"/>
          <w:sz w:val="32"/>
          <w:szCs w:val="32"/>
          <w:highlight w:val="none"/>
          <w:vertAlign w:val="baseline"/>
          <w:lang w:val="en-US" w:eastAsia="zh-CN" w:bidi="ar-SA"/>
        </w:rPr>
        <w:t>，</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预计由残膜污染引起的5%的作物减产不会再产生</w:t>
      </w:r>
      <w:r>
        <w:rPr>
          <w:rFonts w:hint="eastAsia" w:ascii="Times New Roman" w:hAnsi="Times New Roman" w:eastAsia="仿宋_GB2312" w:cs="Times New Roman"/>
          <w:b w:val="0"/>
          <w:bCs w:val="0"/>
          <w:i w:val="0"/>
          <w:iCs w:val="0"/>
          <w:color w:val="auto"/>
          <w:kern w:val="2"/>
          <w:sz w:val="32"/>
          <w:szCs w:val="32"/>
          <w:highlight w:val="none"/>
          <w:vertAlign w:val="baseline"/>
          <w:lang w:val="en-US" w:eastAsia="zh-CN" w:bidi="ar-SA"/>
        </w:rPr>
        <w:t>，</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相当于使作物增产5％以上。</w:t>
      </w:r>
    </w:p>
    <w:p w14:paraId="0AF7EEA2">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pPr>
      <w:r>
        <w:rPr>
          <w:rFonts w:hint="default" w:ascii="Times New Roman" w:hAnsi="Times New Roman" w:eastAsia="楷体_GB2312" w:cs="Times New Roman"/>
          <w:b w:val="0"/>
          <w:bCs/>
          <w:sz w:val="32"/>
          <w:szCs w:val="32"/>
          <w:highlight w:val="none"/>
          <w:lang w:val="en-US" w:eastAsia="zh-CN"/>
        </w:rPr>
        <w:t>（二）社会效益。</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地膜覆盖栽培技术在带来显著效益的同时，由于年复一年地使用地膜，不能及时回收，随着每年耕翻土壤而积累在耕作层内，致使耕地遭到严重的残膜污染，对农业生产和生态环境造成了严重的危害。清除残留膜已到了刻不容缓的地步。全生物降解膜能够在自然条件下自行分解，避免了普通地膜在土壤中残留的问题，从而减少了对土壤的污染，保护了生态环境。此外，全生物降解膜的使用减少了地膜回收的负担，降低了清理成本，进一步促进了环境保护。</w:t>
      </w:r>
    </w:p>
    <w:p w14:paraId="4B64E5A4">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lang w:val="en-US" w:eastAsia="zh-CN"/>
        </w:rPr>
        <w:t>（三）生态效益。</w:t>
      </w:r>
      <w:r>
        <w:rPr>
          <w:rFonts w:hint="default" w:ascii="Times New Roman" w:hAnsi="Times New Roman" w:eastAsia="仿宋_GB2312" w:cs="Times New Roman"/>
          <w:b w:val="0"/>
          <w:bCs/>
          <w:sz w:val="32"/>
          <w:szCs w:val="32"/>
          <w:highlight w:val="none"/>
          <w:lang w:val="en-US" w:eastAsia="zh-CN"/>
        </w:rPr>
        <w:t>该项目实施可从根本上解决覆膜种植带来的环境污染问题，净化土壤，改善土壤生态环境，保护农田土壤、实现地膜覆盖技术条件下土壤的水肥和微生物的良性循环，不仅增温保墒，还能节省地膜回收成本，实现农业生产环境友好，促进农业可持续发展。</w:t>
      </w:r>
    </w:p>
    <w:p w14:paraId="5CBD77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lang w:val="en-US" w:eastAsia="zh-CN"/>
        </w:rPr>
        <w:sectPr>
          <w:pgSz w:w="11906" w:h="16838"/>
          <w:pgMar w:top="1440" w:right="1800" w:bottom="1440" w:left="1800" w:header="851" w:footer="992" w:gutter="0"/>
          <w:cols w:space="425" w:num="1"/>
          <w:docGrid w:type="lines" w:linePitch="312" w:charSpace="0"/>
        </w:sectPr>
      </w:pPr>
    </w:p>
    <w:p w14:paraId="4BE43C47">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w:t>
      </w:r>
    </w:p>
    <w:p w14:paraId="13983A8E">
      <w:pPr>
        <w:keepNext w:val="0"/>
        <w:keepLines w:val="0"/>
        <w:pageBreakBefore w:val="0"/>
        <w:widowControl w:val="0"/>
        <w:kinsoku/>
        <w:wordWrap/>
        <w:overflowPunct/>
        <w:topLinePunct w:val="0"/>
        <w:autoSpaceDE/>
        <w:autoSpaceDN/>
        <w:bidi w:val="0"/>
        <w:adjustRightInd/>
        <w:snapToGrid/>
        <w:spacing w:after="0" w:line="520" w:lineRule="exact"/>
        <w:ind w:firstLine="440" w:firstLineChars="100"/>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2025年申报全生物降解</w:t>
      </w:r>
      <w:r>
        <w:rPr>
          <w:rFonts w:hint="default" w:ascii="Times New Roman" w:hAnsi="Times New Roman" w:eastAsia="方正小标宋_GBK" w:cs="Times New Roman"/>
          <w:color w:val="auto"/>
          <w:sz w:val="44"/>
          <w:szCs w:val="44"/>
        </w:rPr>
        <w:t>地膜</w:t>
      </w:r>
      <w:r>
        <w:rPr>
          <w:rFonts w:hint="default" w:ascii="Times New Roman" w:hAnsi="Times New Roman" w:eastAsia="方正小标宋_GBK" w:cs="Times New Roman"/>
          <w:color w:val="auto"/>
          <w:sz w:val="44"/>
          <w:szCs w:val="44"/>
          <w:lang w:val="en-US" w:eastAsia="zh-CN"/>
        </w:rPr>
        <w:t>补助流程</w:t>
      </w:r>
    </w:p>
    <w:p w14:paraId="1D203375">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仿宋_GB2312" w:cs="Times New Roman"/>
          <w:i w:val="0"/>
          <w:caps w:val="0"/>
          <w:color w:val="000000"/>
          <w:spacing w:val="0"/>
          <w:kern w:val="32"/>
          <w:sz w:val="32"/>
          <w:szCs w:val="32"/>
          <w:shd w:val="clear" w:color="auto" w:fill="FFFFFF"/>
          <w:lang w:val="en-US" w:eastAsia="zh-CN"/>
        </w:rPr>
      </w:pPr>
      <w:r>
        <w:rPr>
          <w:rFonts w:hint="default" w:ascii="Times New Roman" w:hAnsi="Times New Roman" w:eastAsia="仿宋_GB2312" w:cs="Times New Roman"/>
          <w:kern w:val="0"/>
          <w:sz w:val="32"/>
          <w:szCs w:val="32"/>
        </w:rPr>
        <w:t>为切实做好</w:t>
      </w:r>
      <w:r>
        <w:rPr>
          <w:rFonts w:hint="default" w:ascii="Times New Roman" w:hAnsi="Times New Roman" w:eastAsia="仿宋_GB2312" w:cs="Times New Roman"/>
          <w:kern w:val="0"/>
          <w:sz w:val="32"/>
          <w:szCs w:val="32"/>
          <w:lang w:val="en-US" w:eastAsia="zh-CN"/>
        </w:rPr>
        <w:t>2025年全生物降解地膜补助</w:t>
      </w:r>
      <w:r>
        <w:rPr>
          <w:rFonts w:hint="default" w:ascii="Times New Roman" w:hAnsi="Times New Roman" w:eastAsia="仿宋_GB2312" w:cs="Times New Roman"/>
          <w:kern w:val="0"/>
          <w:sz w:val="32"/>
          <w:szCs w:val="32"/>
        </w:rPr>
        <w:t>工作，规范</w:t>
      </w:r>
      <w:r>
        <w:rPr>
          <w:rFonts w:hint="default" w:ascii="Times New Roman" w:hAnsi="Times New Roman" w:eastAsia="仿宋_GB2312" w:cs="Times New Roman"/>
          <w:kern w:val="0"/>
          <w:sz w:val="32"/>
          <w:szCs w:val="32"/>
          <w:lang w:val="en-US" w:eastAsia="zh-CN"/>
        </w:rPr>
        <w:t>申请办理和</w:t>
      </w:r>
      <w:r>
        <w:rPr>
          <w:rFonts w:hint="default" w:ascii="Times New Roman" w:hAnsi="Times New Roman" w:eastAsia="仿宋_GB2312" w:cs="Times New Roman"/>
          <w:kern w:val="0"/>
          <w:sz w:val="32"/>
          <w:szCs w:val="32"/>
        </w:rPr>
        <w:t>核验行为，防范管理风险，提高办补效率，进一步便民利民，</w:t>
      </w:r>
      <w:r>
        <w:rPr>
          <w:rFonts w:hint="default" w:ascii="Times New Roman" w:hAnsi="Times New Roman" w:eastAsia="仿宋_GB2312" w:cs="Times New Roman"/>
          <w:i w:val="0"/>
          <w:caps w:val="0"/>
          <w:color w:val="000000"/>
          <w:spacing w:val="0"/>
          <w:kern w:val="32"/>
          <w:sz w:val="32"/>
          <w:szCs w:val="32"/>
          <w:shd w:val="clear" w:color="auto" w:fill="FFFFFF"/>
          <w:lang w:val="en-US" w:eastAsia="zh-CN"/>
        </w:rPr>
        <w:t>根据自治区农业农村厅、塔城地区农业农村局</w:t>
      </w:r>
      <w:r>
        <w:rPr>
          <w:rFonts w:hint="default" w:ascii="Times New Roman" w:hAnsi="Times New Roman" w:eastAsia="仿宋_GB2312" w:cs="Times New Roman"/>
          <w:kern w:val="0"/>
          <w:sz w:val="32"/>
          <w:szCs w:val="32"/>
        </w:rPr>
        <w:t>政策实施相关规定</w:t>
      </w:r>
      <w:r>
        <w:rPr>
          <w:rFonts w:hint="default" w:ascii="Times New Roman" w:hAnsi="Times New Roman" w:eastAsia="仿宋_GB2312" w:cs="Times New Roman"/>
          <w:i w:val="0"/>
          <w:caps w:val="0"/>
          <w:color w:val="000000"/>
          <w:spacing w:val="0"/>
          <w:kern w:val="32"/>
          <w:sz w:val="32"/>
          <w:szCs w:val="32"/>
          <w:shd w:val="clear" w:color="auto" w:fill="FFFFFF"/>
          <w:lang w:val="en-US" w:eastAsia="zh-CN"/>
        </w:rPr>
        <w:t>，</w:t>
      </w:r>
      <w:r>
        <w:rPr>
          <w:rFonts w:hint="default" w:ascii="Times New Roman" w:hAnsi="Times New Roman" w:eastAsia="仿宋_GB2312" w:cs="Times New Roman"/>
          <w:kern w:val="0"/>
          <w:sz w:val="32"/>
          <w:szCs w:val="32"/>
        </w:rPr>
        <w:t>结合</w:t>
      </w:r>
      <w:r>
        <w:rPr>
          <w:rFonts w:hint="default" w:ascii="Times New Roman" w:hAnsi="Times New Roman" w:eastAsia="仿宋_GB2312" w:cs="Times New Roman"/>
          <w:kern w:val="0"/>
          <w:sz w:val="32"/>
          <w:szCs w:val="32"/>
          <w:lang w:eastAsia="zh-CN"/>
        </w:rPr>
        <w:t>和布克赛尔县</w:t>
      </w:r>
      <w:r>
        <w:rPr>
          <w:rFonts w:hint="default" w:ascii="Times New Roman" w:hAnsi="Times New Roman" w:eastAsia="仿宋_GB2312" w:cs="Times New Roman"/>
          <w:kern w:val="0"/>
          <w:sz w:val="32"/>
          <w:szCs w:val="32"/>
        </w:rPr>
        <w:t>实际，</w:t>
      </w:r>
      <w:r>
        <w:rPr>
          <w:rFonts w:hint="default" w:ascii="Times New Roman" w:hAnsi="Times New Roman" w:eastAsia="仿宋_GB2312" w:cs="Times New Roman"/>
          <w:kern w:val="0"/>
          <w:sz w:val="32"/>
          <w:szCs w:val="32"/>
          <w:lang w:val="en-US" w:eastAsia="zh-CN"/>
        </w:rPr>
        <w:t>进一步规范2026年春季申办全生物降解地膜补助具体流程如下：</w:t>
      </w:r>
    </w:p>
    <w:p w14:paraId="052B9B74">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pP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1、使用</w:t>
      </w:r>
      <w:r>
        <w:rPr>
          <w:rFonts w:hint="default" w:ascii="Times New Roman" w:hAnsi="Times New Roman" w:eastAsia="仿宋_GB2312" w:cs="Times New Roman"/>
          <w:kern w:val="0"/>
          <w:sz w:val="32"/>
          <w:szCs w:val="32"/>
          <w:lang w:val="en-US" w:eastAsia="zh-CN"/>
        </w:rPr>
        <w:t>全生物降解</w:t>
      </w: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地膜农户实名制台账（各乡镇）。</w:t>
      </w:r>
    </w:p>
    <w:p w14:paraId="37AC8564">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pP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2、产品合格证（产品名称、类别、标称厚度、宽度、参考长度、净质量、生产日期、生产厂家名称、地址、执行标准、检验员印章</w:t>
      </w:r>
      <w:r>
        <w:rPr>
          <w:rFonts w:hint="eastAsia" w:ascii="Times New Roman" w:hAnsi="Times New Roman" w:eastAsia="仿宋_GB2312" w:cs="Times New Roman"/>
          <w:i w:val="0"/>
          <w:caps w:val="0"/>
          <w:color w:val="000000"/>
          <w:spacing w:val="0"/>
          <w:kern w:val="32"/>
          <w:sz w:val="32"/>
          <w:szCs w:val="32"/>
          <w:highlight w:val="none"/>
          <w:shd w:val="clear" w:color="auto" w:fill="FFFFFF"/>
          <w:lang w:val="en-US" w:eastAsia="zh-CN"/>
        </w:rPr>
        <w:t>等</w:t>
      </w: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w:t>
      </w:r>
      <w:r>
        <w:rPr>
          <w:rFonts w:hint="eastAsia" w:ascii="Times New Roman" w:hAnsi="Times New Roman" w:eastAsia="仿宋_GB2312" w:cs="Times New Roman"/>
          <w:i w:val="0"/>
          <w:caps w:val="0"/>
          <w:color w:val="000000"/>
          <w:spacing w:val="0"/>
          <w:kern w:val="32"/>
          <w:sz w:val="32"/>
          <w:szCs w:val="32"/>
          <w:highlight w:val="none"/>
          <w:shd w:val="clear" w:color="auto" w:fill="FFFFFF"/>
          <w:lang w:val="en-US" w:eastAsia="zh-CN"/>
        </w:rPr>
        <w:t>。</w:t>
      </w:r>
    </w:p>
    <w:p w14:paraId="56722F63">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pP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3、购买</w:t>
      </w:r>
      <w:r>
        <w:rPr>
          <w:rFonts w:hint="default" w:ascii="Times New Roman" w:hAnsi="Times New Roman" w:eastAsia="仿宋_GB2312" w:cs="Times New Roman"/>
          <w:kern w:val="0"/>
          <w:sz w:val="32"/>
          <w:szCs w:val="32"/>
          <w:lang w:val="en-US" w:eastAsia="zh-CN"/>
        </w:rPr>
        <w:t>全生物降解</w:t>
      </w: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地膜发票（</w:t>
      </w:r>
      <w:r>
        <w:rPr>
          <w:rFonts w:hint="default" w:ascii="Times New Roman" w:hAnsi="Times New Roman" w:eastAsia="仿宋_GB2312" w:cs="Times New Roman"/>
          <w:kern w:val="0"/>
          <w:sz w:val="32"/>
          <w:szCs w:val="32"/>
          <w:lang w:val="en-US" w:eastAsia="zh-CN"/>
        </w:rPr>
        <w:t>全生物降解</w:t>
      </w: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地膜使用的农户与种植大户实名制开增值税电子普通发票）。</w:t>
      </w:r>
    </w:p>
    <w:p w14:paraId="11D37C2F">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pP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4、与厂家签订的购膜合同。</w:t>
      </w:r>
    </w:p>
    <w:p w14:paraId="055DCC30">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pP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5、地膜生产厂家产品与原料合格的CMA检验报告。</w:t>
      </w:r>
    </w:p>
    <w:p w14:paraId="0E604DD9">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pP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6、补贴对象身份证、“一卡通”复印件。</w:t>
      </w:r>
    </w:p>
    <w:p w14:paraId="196E2CAB">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pP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7、乡镇验收单。</w:t>
      </w:r>
    </w:p>
    <w:p w14:paraId="5E51A622">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pP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各乡镇核验核查农户与种植大户使用的农膜和农作物面积、并在村队（社区）及乡镇公示审核无误后向县农业农村局申报补助资金申请，由县农业农村局会同县财政局等核验审核通过后</w:t>
      </w:r>
      <w:r>
        <w:rPr>
          <w:rFonts w:hint="eastAsia" w:ascii="Times New Roman" w:hAnsi="Times New Roman" w:eastAsia="仿宋_GB2312" w:cs="Times New Roman"/>
          <w:i w:val="0"/>
          <w:caps w:val="0"/>
          <w:color w:val="000000"/>
          <w:spacing w:val="0"/>
          <w:kern w:val="32"/>
          <w:sz w:val="32"/>
          <w:szCs w:val="32"/>
          <w:highlight w:val="none"/>
          <w:shd w:val="clear" w:color="auto" w:fill="FFFFFF"/>
          <w:lang w:val="en-US" w:eastAsia="zh-CN"/>
        </w:rPr>
        <w:t>，</w:t>
      </w: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将把全生物降解地膜补助通过“一卡通”发放到农户账户里。</w:t>
      </w:r>
    </w:p>
    <w:p w14:paraId="2C35D560">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仿宋_GB2312" w:cs="Times New Roman"/>
          <w:sz w:val="32"/>
          <w:szCs w:val="32"/>
          <w:lang w:val="en-US" w:eastAsia="zh-CN"/>
        </w:rPr>
        <w:sectPr>
          <w:pgSz w:w="11906" w:h="16838"/>
          <w:pgMar w:top="1440" w:right="1800" w:bottom="1440" w:left="1800" w:header="851" w:footer="992" w:gutter="0"/>
          <w:cols w:space="425" w:num="1"/>
          <w:docGrid w:type="lines" w:linePitch="312" w:charSpace="0"/>
        </w:sectPr>
      </w:pPr>
    </w:p>
    <w:p w14:paraId="07B9C61A">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附件2</w:t>
      </w:r>
    </w:p>
    <w:p w14:paraId="27829AEC">
      <w:pPr>
        <w:spacing w:line="520" w:lineRule="exact"/>
        <w:jc w:val="center"/>
        <w:rPr>
          <w:rFonts w:hint="default" w:ascii="Times New Roman" w:hAnsi="Times New Roman" w:eastAsia="方正小标宋简体" w:cs="Times New Roman"/>
          <w:bCs/>
          <w:kern w:val="0"/>
          <w:sz w:val="32"/>
          <w:szCs w:val="32"/>
        </w:rPr>
      </w:pPr>
      <w:r>
        <w:rPr>
          <w:rFonts w:hint="default" w:ascii="Times New Roman" w:hAnsi="Times New Roman" w:eastAsia="方正小标宋简体" w:cs="Times New Roman"/>
          <w:bCs/>
          <w:kern w:val="0"/>
          <w:sz w:val="32"/>
          <w:szCs w:val="32"/>
        </w:rPr>
        <w:t>202</w:t>
      </w:r>
      <w:r>
        <w:rPr>
          <w:rFonts w:hint="default" w:ascii="Times New Roman" w:hAnsi="Times New Roman" w:eastAsia="方正小标宋简体" w:cs="Times New Roman"/>
          <w:bCs/>
          <w:kern w:val="0"/>
          <w:sz w:val="32"/>
          <w:szCs w:val="32"/>
          <w:lang w:val="en-US" w:eastAsia="zh-CN"/>
        </w:rPr>
        <w:t>5</w:t>
      </w:r>
      <w:r>
        <w:rPr>
          <w:rFonts w:hint="default" w:ascii="Times New Roman" w:hAnsi="Times New Roman" w:eastAsia="方正小标宋简体" w:cs="Times New Roman"/>
          <w:bCs/>
          <w:kern w:val="0"/>
          <w:sz w:val="32"/>
          <w:szCs w:val="32"/>
        </w:rPr>
        <w:t>年-202</w:t>
      </w:r>
      <w:r>
        <w:rPr>
          <w:rFonts w:hint="default" w:ascii="Times New Roman" w:hAnsi="Times New Roman" w:eastAsia="方正小标宋简体" w:cs="Times New Roman"/>
          <w:bCs/>
          <w:kern w:val="0"/>
          <w:sz w:val="32"/>
          <w:szCs w:val="32"/>
          <w:lang w:val="en-US" w:eastAsia="zh-CN"/>
        </w:rPr>
        <w:t>6</w:t>
      </w:r>
      <w:r>
        <w:rPr>
          <w:rFonts w:hint="default" w:ascii="Times New Roman" w:hAnsi="Times New Roman" w:eastAsia="方正小标宋简体" w:cs="Times New Roman"/>
          <w:bCs/>
          <w:kern w:val="0"/>
          <w:sz w:val="32"/>
          <w:szCs w:val="32"/>
        </w:rPr>
        <w:t>年</w:t>
      </w:r>
      <w:r>
        <w:rPr>
          <w:rFonts w:hint="default" w:ascii="Times New Roman" w:hAnsi="Times New Roman" w:eastAsia="方正小标宋简体" w:cs="Times New Roman"/>
          <w:bCs/>
          <w:kern w:val="0"/>
          <w:sz w:val="32"/>
          <w:szCs w:val="32"/>
          <w:lang w:eastAsia="zh-CN"/>
        </w:rPr>
        <w:t>和布克赛尔县</w:t>
      </w:r>
      <w:r>
        <w:rPr>
          <w:rFonts w:hint="default" w:ascii="Times New Roman" w:hAnsi="Times New Roman" w:eastAsia="方正小标宋简体" w:cs="Times New Roman"/>
          <w:bCs/>
          <w:kern w:val="0"/>
          <w:sz w:val="32"/>
          <w:szCs w:val="32"/>
        </w:rPr>
        <w:t>全生物降解膜</w:t>
      </w:r>
    </w:p>
    <w:p w14:paraId="7EA62A2C">
      <w:pPr>
        <w:spacing w:line="520" w:lineRule="exact"/>
        <w:jc w:val="center"/>
        <w:rPr>
          <w:rFonts w:hint="default" w:ascii="Times New Roman" w:hAnsi="Times New Roman" w:eastAsia="方正小标宋简体" w:cs="Times New Roman"/>
          <w:bCs/>
          <w:kern w:val="0"/>
          <w:sz w:val="32"/>
          <w:szCs w:val="32"/>
        </w:rPr>
      </w:pPr>
      <w:r>
        <w:rPr>
          <w:rFonts w:hint="default" w:ascii="Times New Roman" w:hAnsi="Times New Roman" w:eastAsia="方正小标宋简体" w:cs="Times New Roman"/>
          <w:bCs/>
          <w:kern w:val="0"/>
          <w:sz w:val="32"/>
          <w:szCs w:val="32"/>
        </w:rPr>
        <w:t>任务分解表</w:t>
      </w:r>
    </w:p>
    <w:p w14:paraId="51629621">
      <w:pPr>
        <w:pStyle w:val="6"/>
        <w:rPr>
          <w:rFonts w:hint="default" w:ascii="Times New Roman" w:hAnsi="Times New Roman" w:cs="Times New Roma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3150"/>
        <w:gridCol w:w="2038"/>
        <w:gridCol w:w="2212"/>
      </w:tblGrid>
      <w:tr w14:paraId="0DE1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67" w:type="dxa"/>
            <w:noWrap w:val="0"/>
            <w:vAlign w:val="top"/>
          </w:tcPr>
          <w:p w14:paraId="0378B1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序号</w:t>
            </w:r>
          </w:p>
        </w:tc>
        <w:tc>
          <w:tcPr>
            <w:tcW w:w="3150" w:type="dxa"/>
            <w:noWrap w:val="0"/>
            <w:vAlign w:val="top"/>
          </w:tcPr>
          <w:p w14:paraId="1BF0B0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乡镇（场）</w:t>
            </w:r>
          </w:p>
        </w:tc>
        <w:tc>
          <w:tcPr>
            <w:tcW w:w="2038" w:type="dxa"/>
            <w:noWrap w:val="0"/>
            <w:vAlign w:val="top"/>
          </w:tcPr>
          <w:p w14:paraId="5DDFC7F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补助面积（亩）</w:t>
            </w:r>
          </w:p>
        </w:tc>
        <w:tc>
          <w:tcPr>
            <w:tcW w:w="2212" w:type="dxa"/>
            <w:noWrap w:val="0"/>
            <w:vAlign w:val="top"/>
          </w:tcPr>
          <w:p w14:paraId="65ADFF0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补助资金（万元）</w:t>
            </w:r>
          </w:p>
        </w:tc>
      </w:tr>
      <w:tr w14:paraId="36B0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7" w:type="dxa"/>
            <w:noWrap w:val="0"/>
            <w:vAlign w:val="top"/>
          </w:tcPr>
          <w:p w14:paraId="2A54DBF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3150" w:type="dxa"/>
            <w:noWrap w:val="0"/>
            <w:vAlign w:val="top"/>
          </w:tcPr>
          <w:p w14:paraId="5772F48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查和特乡</w:t>
            </w:r>
          </w:p>
        </w:tc>
        <w:tc>
          <w:tcPr>
            <w:tcW w:w="2038" w:type="dxa"/>
            <w:noWrap w:val="0"/>
            <w:vAlign w:val="top"/>
          </w:tcPr>
          <w:p w14:paraId="64AA9A6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1600</w:t>
            </w:r>
          </w:p>
        </w:tc>
        <w:tc>
          <w:tcPr>
            <w:tcW w:w="2212" w:type="dxa"/>
            <w:noWrap w:val="0"/>
            <w:vAlign w:val="top"/>
          </w:tcPr>
          <w:p w14:paraId="4D85CA5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7.2</w:t>
            </w:r>
          </w:p>
        </w:tc>
      </w:tr>
      <w:tr w14:paraId="65BD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67" w:type="dxa"/>
            <w:noWrap w:val="0"/>
            <w:vAlign w:val="top"/>
          </w:tcPr>
          <w:p w14:paraId="255FB4B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3150" w:type="dxa"/>
            <w:noWrap w:val="0"/>
            <w:vAlign w:val="top"/>
          </w:tcPr>
          <w:p w14:paraId="4A92571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夏孜盖乡</w:t>
            </w:r>
          </w:p>
        </w:tc>
        <w:tc>
          <w:tcPr>
            <w:tcW w:w="2038" w:type="dxa"/>
            <w:noWrap w:val="0"/>
            <w:vAlign w:val="top"/>
          </w:tcPr>
          <w:p w14:paraId="2C88D88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1800</w:t>
            </w:r>
          </w:p>
        </w:tc>
        <w:tc>
          <w:tcPr>
            <w:tcW w:w="2212" w:type="dxa"/>
            <w:noWrap w:val="0"/>
            <w:vAlign w:val="top"/>
          </w:tcPr>
          <w:p w14:paraId="46703B7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8.1</w:t>
            </w:r>
          </w:p>
        </w:tc>
      </w:tr>
      <w:tr w14:paraId="5043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7" w:type="dxa"/>
            <w:noWrap w:val="0"/>
            <w:vAlign w:val="top"/>
          </w:tcPr>
          <w:p w14:paraId="560FF39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p>
        </w:tc>
        <w:tc>
          <w:tcPr>
            <w:tcW w:w="3150" w:type="dxa"/>
            <w:noWrap w:val="0"/>
            <w:vAlign w:val="top"/>
          </w:tcPr>
          <w:p w14:paraId="4EA9BC2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和什托洛盖镇</w:t>
            </w:r>
          </w:p>
        </w:tc>
        <w:tc>
          <w:tcPr>
            <w:tcW w:w="2038" w:type="dxa"/>
            <w:noWrap w:val="0"/>
            <w:vAlign w:val="top"/>
          </w:tcPr>
          <w:p w14:paraId="693E1A3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2000</w:t>
            </w:r>
          </w:p>
        </w:tc>
        <w:tc>
          <w:tcPr>
            <w:tcW w:w="2212" w:type="dxa"/>
            <w:noWrap w:val="0"/>
            <w:vAlign w:val="top"/>
          </w:tcPr>
          <w:p w14:paraId="4D2ECA6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9</w:t>
            </w:r>
          </w:p>
        </w:tc>
      </w:tr>
      <w:tr w14:paraId="1745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67" w:type="dxa"/>
            <w:noWrap w:val="0"/>
            <w:vAlign w:val="top"/>
          </w:tcPr>
          <w:p w14:paraId="4302414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w:t>
            </w:r>
          </w:p>
        </w:tc>
        <w:tc>
          <w:tcPr>
            <w:tcW w:w="3150" w:type="dxa"/>
            <w:noWrap w:val="0"/>
            <w:vAlign w:val="top"/>
          </w:tcPr>
          <w:p w14:paraId="1E7AE46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查干库勒乡</w:t>
            </w:r>
          </w:p>
        </w:tc>
        <w:tc>
          <w:tcPr>
            <w:tcW w:w="2038" w:type="dxa"/>
            <w:noWrap w:val="0"/>
            <w:vAlign w:val="top"/>
          </w:tcPr>
          <w:p w14:paraId="414E4A0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1000</w:t>
            </w:r>
          </w:p>
        </w:tc>
        <w:tc>
          <w:tcPr>
            <w:tcW w:w="2212" w:type="dxa"/>
            <w:noWrap w:val="0"/>
            <w:vAlign w:val="top"/>
          </w:tcPr>
          <w:p w14:paraId="59A32BC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4.5</w:t>
            </w:r>
          </w:p>
        </w:tc>
      </w:tr>
      <w:tr w14:paraId="1421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67" w:type="dxa"/>
            <w:noWrap w:val="0"/>
            <w:vAlign w:val="top"/>
          </w:tcPr>
          <w:p w14:paraId="270D3B8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5</w:t>
            </w:r>
          </w:p>
        </w:tc>
        <w:tc>
          <w:tcPr>
            <w:tcW w:w="3150" w:type="dxa"/>
            <w:noWrap w:val="0"/>
            <w:vAlign w:val="top"/>
          </w:tcPr>
          <w:p w14:paraId="39B2067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铁布肯乌散乡</w:t>
            </w:r>
          </w:p>
        </w:tc>
        <w:tc>
          <w:tcPr>
            <w:tcW w:w="2038" w:type="dxa"/>
            <w:noWrap w:val="0"/>
            <w:vAlign w:val="top"/>
          </w:tcPr>
          <w:p w14:paraId="0172CED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1300</w:t>
            </w:r>
          </w:p>
        </w:tc>
        <w:tc>
          <w:tcPr>
            <w:tcW w:w="2212" w:type="dxa"/>
            <w:noWrap w:val="0"/>
            <w:vAlign w:val="top"/>
          </w:tcPr>
          <w:p w14:paraId="5F6042D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5.85</w:t>
            </w:r>
          </w:p>
        </w:tc>
      </w:tr>
      <w:tr w14:paraId="0DB1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7" w:type="dxa"/>
            <w:noWrap w:val="0"/>
            <w:vAlign w:val="top"/>
          </w:tcPr>
          <w:p w14:paraId="06DF44B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6</w:t>
            </w:r>
          </w:p>
        </w:tc>
        <w:tc>
          <w:tcPr>
            <w:tcW w:w="3150" w:type="dxa"/>
            <w:noWrap w:val="0"/>
            <w:vAlign w:val="top"/>
          </w:tcPr>
          <w:p w14:paraId="1828CC6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巴音</w:t>
            </w:r>
            <w:r>
              <w:rPr>
                <w:rFonts w:hint="eastAsia" w:ascii="Times New Roman" w:hAnsi="Times New Roman" w:eastAsia="仿宋_GB2312" w:cs="Times New Roman"/>
                <w:sz w:val="28"/>
                <w:szCs w:val="28"/>
                <w:vertAlign w:val="baseline"/>
                <w:lang w:val="en-US" w:eastAsia="zh-CN"/>
              </w:rPr>
              <w:t>敖</w:t>
            </w:r>
            <w:r>
              <w:rPr>
                <w:rFonts w:hint="default" w:ascii="Times New Roman" w:hAnsi="Times New Roman" w:eastAsia="仿宋_GB2312" w:cs="Times New Roman"/>
                <w:sz w:val="28"/>
                <w:szCs w:val="28"/>
                <w:vertAlign w:val="baseline"/>
                <w:lang w:val="en-US" w:eastAsia="zh-CN"/>
              </w:rPr>
              <w:t>瓦乡</w:t>
            </w:r>
          </w:p>
        </w:tc>
        <w:tc>
          <w:tcPr>
            <w:tcW w:w="2038" w:type="dxa"/>
            <w:noWrap w:val="0"/>
            <w:vAlign w:val="top"/>
          </w:tcPr>
          <w:p w14:paraId="22C6288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1300</w:t>
            </w:r>
          </w:p>
        </w:tc>
        <w:tc>
          <w:tcPr>
            <w:tcW w:w="2212" w:type="dxa"/>
            <w:noWrap w:val="0"/>
            <w:vAlign w:val="top"/>
          </w:tcPr>
          <w:p w14:paraId="76DA5B5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5.85</w:t>
            </w:r>
          </w:p>
        </w:tc>
      </w:tr>
      <w:tr w14:paraId="45D6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67" w:type="dxa"/>
            <w:noWrap w:val="0"/>
            <w:vAlign w:val="top"/>
          </w:tcPr>
          <w:p w14:paraId="2AD878F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7</w:t>
            </w:r>
          </w:p>
        </w:tc>
        <w:tc>
          <w:tcPr>
            <w:tcW w:w="3150" w:type="dxa"/>
            <w:noWrap w:val="0"/>
            <w:vAlign w:val="top"/>
          </w:tcPr>
          <w:p w14:paraId="5F13FA3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莫特格乡</w:t>
            </w:r>
          </w:p>
        </w:tc>
        <w:tc>
          <w:tcPr>
            <w:tcW w:w="2038" w:type="dxa"/>
            <w:noWrap w:val="0"/>
            <w:vAlign w:val="top"/>
          </w:tcPr>
          <w:p w14:paraId="4AE3FAA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1000</w:t>
            </w:r>
          </w:p>
        </w:tc>
        <w:tc>
          <w:tcPr>
            <w:tcW w:w="2212" w:type="dxa"/>
            <w:noWrap w:val="0"/>
            <w:vAlign w:val="top"/>
          </w:tcPr>
          <w:p w14:paraId="1F3379C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4.5</w:t>
            </w:r>
          </w:p>
        </w:tc>
      </w:tr>
      <w:tr w14:paraId="7E0C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67" w:type="dxa"/>
            <w:noWrap w:val="0"/>
            <w:vAlign w:val="top"/>
          </w:tcPr>
          <w:p w14:paraId="21D57FF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p>
        </w:tc>
        <w:tc>
          <w:tcPr>
            <w:tcW w:w="3150" w:type="dxa"/>
            <w:noWrap w:val="0"/>
            <w:vAlign w:val="top"/>
          </w:tcPr>
          <w:p w14:paraId="3BA701F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合计</w:t>
            </w:r>
          </w:p>
        </w:tc>
        <w:tc>
          <w:tcPr>
            <w:tcW w:w="2038" w:type="dxa"/>
            <w:noWrap w:val="0"/>
            <w:vAlign w:val="top"/>
          </w:tcPr>
          <w:p w14:paraId="040E74D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10000</w:t>
            </w:r>
          </w:p>
        </w:tc>
        <w:tc>
          <w:tcPr>
            <w:tcW w:w="2212" w:type="dxa"/>
            <w:noWrap w:val="0"/>
            <w:vAlign w:val="top"/>
          </w:tcPr>
          <w:p w14:paraId="70A9989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45</w:t>
            </w:r>
          </w:p>
        </w:tc>
      </w:tr>
    </w:tbl>
    <w:p w14:paraId="376E97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sectPr>
          <w:pgSz w:w="11906" w:h="16838"/>
          <w:pgMar w:top="1440" w:right="1800" w:bottom="1440" w:left="1800" w:header="851" w:footer="992" w:gutter="0"/>
          <w:cols w:space="425" w:num="1"/>
          <w:docGrid w:type="lines" w:linePitch="312" w:charSpace="0"/>
        </w:sectPr>
      </w:pPr>
    </w:p>
    <w:p w14:paraId="502306BB">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sz w:val="32"/>
          <w:szCs w:val="32"/>
          <w:lang w:val="en-US" w:eastAsia="zh-CN"/>
        </w:rPr>
        <w:t>附件3</w:t>
      </w:r>
    </w:p>
    <w:tbl>
      <w:tblPr>
        <w:tblStyle w:val="7"/>
        <w:tblW w:w="140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9"/>
        <w:gridCol w:w="1158"/>
        <w:gridCol w:w="1097"/>
        <w:gridCol w:w="972"/>
        <w:gridCol w:w="1014"/>
        <w:gridCol w:w="1014"/>
        <w:gridCol w:w="983"/>
        <w:gridCol w:w="993"/>
        <w:gridCol w:w="797"/>
        <w:gridCol w:w="721"/>
        <w:gridCol w:w="722"/>
        <w:gridCol w:w="905"/>
        <w:gridCol w:w="962"/>
        <w:gridCol w:w="973"/>
        <w:gridCol w:w="992"/>
      </w:tblGrid>
      <w:tr w14:paraId="0F073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14042" w:type="dxa"/>
            <w:gridSpan w:val="15"/>
            <w:tcBorders>
              <w:top w:val="single" w:color="000000" w:sz="4" w:space="0"/>
              <w:left w:val="single" w:color="000000" w:sz="4" w:space="0"/>
              <w:bottom w:val="single" w:color="000000" w:sz="4" w:space="0"/>
              <w:right w:val="single" w:color="000000" w:sz="4" w:space="0"/>
            </w:tcBorders>
            <w:noWrap/>
            <w:vAlign w:val="center"/>
          </w:tcPr>
          <w:p w14:paraId="2201E58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r>
              <w:rPr>
                <w:rFonts w:hint="default" w:ascii="Times New Roman" w:hAnsi="Times New Roman" w:eastAsia="黑体" w:cs="Times New Roman"/>
                <w:i w:val="0"/>
                <w:iCs w:val="0"/>
                <w:color w:val="000000"/>
                <w:kern w:val="0"/>
                <w:sz w:val="24"/>
                <w:szCs w:val="24"/>
                <w:u w:val="none"/>
                <w:lang w:val="en-US" w:eastAsia="zh-CN" w:bidi="ar"/>
              </w:rPr>
              <w:t xml:space="preserve">  地膜使用台账</w:t>
            </w:r>
            <w:r>
              <w:rPr>
                <w:rFonts w:hint="default" w:ascii="Times New Roman" w:hAnsi="Times New Roman" w:eastAsia="黑体" w:cs="Times New Roman"/>
                <w:i w:val="0"/>
                <w:iCs w:val="0"/>
                <w:color w:val="000000"/>
                <w:kern w:val="0"/>
                <w:sz w:val="18"/>
                <w:szCs w:val="18"/>
                <w:u w:val="none"/>
                <w:lang w:val="en-US" w:eastAsia="zh-CN" w:bidi="ar"/>
              </w:rPr>
              <w:t xml:space="preserve">                                                 </w:t>
            </w:r>
            <w:r>
              <w:rPr>
                <w:rFonts w:hint="default" w:ascii="Times New Roman" w:hAnsi="Times New Roman" w:eastAsia="黑体" w:cs="Times New Roman"/>
                <w:i w:val="0"/>
                <w:iCs w:val="0"/>
                <w:color w:val="000000"/>
                <w:kern w:val="0"/>
                <w:sz w:val="18"/>
                <w:szCs w:val="18"/>
                <w:u w:val="single"/>
                <w:lang w:val="en-US" w:eastAsia="zh-CN" w:bidi="ar"/>
              </w:rPr>
              <w:t xml:space="preserve">      </w:t>
            </w:r>
            <w:r>
              <w:rPr>
                <w:rFonts w:hint="default" w:ascii="Times New Roman" w:hAnsi="Times New Roman" w:eastAsia="黑体" w:cs="Times New Roman"/>
                <w:i w:val="0"/>
                <w:iCs w:val="0"/>
                <w:color w:val="000000"/>
                <w:kern w:val="0"/>
                <w:sz w:val="18"/>
                <w:szCs w:val="18"/>
                <w:u w:val="none"/>
                <w:lang w:val="en-US" w:eastAsia="zh-CN" w:bidi="ar"/>
              </w:rPr>
              <w:t>月</w:t>
            </w:r>
          </w:p>
        </w:tc>
      </w:tr>
      <w:tr w14:paraId="35309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39" w:type="dxa"/>
            <w:vMerge w:val="restart"/>
            <w:tcBorders>
              <w:top w:val="single" w:color="000000" w:sz="4" w:space="0"/>
              <w:left w:val="single" w:color="000000" w:sz="4" w:space="0"/>
              <w:bottom w:val="single" w:color="000000" w:sz="4" w:space="0"/>
              <w:right w:val="single" w:color="000000" w:sz="4" w:space="0"/>
            </w:tcBorders>
            <w:noWrap/>
            <w:vAlign w:val="center"/>
          </w:tcPr>
          <w:p w14:paraId="6F3EA32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序号</w:t>
            </w:r>
          </w:p>
        </w:tc>
        <w:tc>
          <w:tcPr>
            <w:tcW w:w="1158" w:type="dxa"/>
            <w:vMerge w:val="restart"/>
            <w:tcBorders>
              <w:top w:val="single" w:color="000000" w:sz="4" w:space="0"/>
              <w:left w:val="single" w:color="000000" w:sz="4" w:space="0"/>
              <w:bottom w:val="single" w:color="000000" w:sz="4" w:space="0"/>
              <w:right w:val="single" w:color="000000" w:sz="4" w:space="0"/>
            </w:tcBorders>
            <w:noWrap/>
            <w:vAlign w:val="center"/>
          </w:tcPr>
          <w:p w14:paraId="24F7C4C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使用日期</w:t>
            </w:r>
          </w:p>
        </w:tc>
        <w:tc>
          <w:tcPr>
            <w:tcW w:w="10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E5E747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使用人</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（购买人）</w:t>
            </w:r>
          </w:p>
        </w:tc>
        <w:tc>
          <w:tcPr>
            <w:tcW w:w="972" w:type="dxa"/>
            <w:vMerge w:val="restart"/>
            <w:tcBorders>
              <w:top w:val="single" w:color="000000" w:sz="4" w:space="0"/>
              <w:left w:val="single" w:color="000000" w:sz="4" w:space="0"/>
              <w:bottom w:val="single" w:color="000000" w:sz="4" w:space="0"/>
              <w:right w:val="single" w:color="000000" w:sz="4" w:space="0"/>
            </w:tcBorders>
            <w:noWrap/>
            <w:vAlign w:val="center"/>
          </w:tcPr>
          <w:p w14:paraId="79FDAB0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联系方式</w:t>
            </w:r>
          </w:p>
        </w:tc>
        <w:tc>
          <w:tcPr>
            <w:tcW w:w="1014" w:type="dxa"/>
            <w:vMerge w:val="restart"/>
            <w:tcBorders>
              <w:top w:val="single" w:color="000000" w:sz="4" w:space="0"/>
              <w:left w:val="single" w:color="000000" w:sz="4" w:space="0"/>
              <w:bottom w:val="single" w:color="000000" w:sz="4" w:space="0"/>
              <w:right w:val="single" w:color="000000" w:sz="4" w:space="0"/>
            </w:tcBorders>
            <w:noWrap/>
            <w:vAlign w:val="center"/>
          </w:tcPr>
          <w:p w14:paraId="2F4E746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地膜名称</w:t>
            </w:r>
          </w:p>
        </w:tc>
        <w:tc>
          <w:tcPr>
            <w:tcW w:w="1014" w:type="dxa"/>
            <w:vMerge w:val="restart"/>
            <w:tcBorders>
              <w:top w:val="single" w:color="000000" w:sz="4" w:space="0"/>
              <w:left w:val="single" w:color="000000" w:sz="4" w:space="0"/>
              <w:bottom w:val="single" w:color="000000" w:sz="4" w:space="0"/>
              <w:right w:val="single" w:color="000000" w:sz="4" w:space="0"/>
            </w:tcBorders>
            <w:noWrap/>
            <w:vAlign w:val="center"/>
          </w:tcPr>
          <w:p w14:paraId="1267E41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使用地点</w:t>
            </w:r>
          </w:p>
        </w:tc>
        <w:tc>
          <w:tcPr>
            <w:tcW w:w="983" w:type="dxa"/>
            <w:vMerge w:val="restart"/>
            <w:tcBorders>
              <w:top w:val="single" w:color="000000" w:sz="4" w:space="0"/>
              <w:left w:val="single" w:color="000000" w:sz="4" w:space="0"/>
              <w:bottom w:val="single" w:color="000000" w:sz="4" w:space="0"/>
              <w:right w:val="single" w:color="000000" w:sz="4" w:space="0"/>
            </w:tcBorders>
            <w:noWrap/>
            <w:vAlign w:val="center"/>
          </w:tcPr>
          <w:p w14:paraId="709004B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使用作物</w:t>
            </w:r>
          </w:p>
        </w:tc>
        <w:tc>
          <w:tcPr>
            <w:tcW w:w="993" w:type="dxa"/>
            <w:vMerge w:val="restart"/>
            <w:tcBorders>
              <w:top w:val="single" w:color="000000" w:sz="4" w:space="0"/>
              <w:left w:val="single" w:color="000000" w:sz="4" w:space="0"/>
              <w:bottom w:val="single" w:color="000000" w:sz="4" w:space="0"/>
              <w:right w:val="single" w:color="000000" w:sz="4" w:space="0"/>
            </w:tcBorders>
            <w:noWrap w:val="0"/>
            <w:vAlign w:val="center"/>
          </w:tcPr>
          <w:p w14:paraId="4FDA5CE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使用面积（亩）</w:t>
            </w:r>
          </w:p>
        </w:tc>
        <w:tc>
          <w:tcPr>
            <w:tcW w:w="7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13E791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使用量（公斤）</w:t>
            </w:r>
          </w:p>
        </w:tc>
        <w:tc>
          <w:tcPr>
            <w:tcW w:w="1443" w:type="dxa"/>
            <w:gridSpan w:val="2"/>
            <w:tcBorders>
              <w:top w:val="single" w:color="000000" w:sz="4" w:space="0"/>
              <w:left w:val="single" w:color="000000" w:sz="4" w:space="0"/>
              <w:bottom w:val="single" w:color="000000" w:sz="4" w:space="0"/>
              <w:right w:val="single" w:color="000000" w:sz="4" w:space="0"/>
            </w:tcBorders>
            <w:noWrap/>
            <w:vAlign w:val="center"/>
          </w:tcPr>
          <w:p w14:paraId="1E10BB7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规格</w:t>
            </w:r>
          </w:p>
        </w:tc>
        <w:tc>
          <w:tcPr>
            <w:tcW w:w="905" w:type="dxa"/>
            <w:vMerge w:val="restart"/>
            <w:tcBorders>
              <w:top w:val="single" w:color="000000" w:sz="4" w:space="0"/>
              <w:left w:val="single" w:color="000000" w:sz="4" w:space="0"/>
              <w:bottom w:val="single" w:color="000000" w:sz="4" w:space="0"/>
              <w:right w:val="single" w:color="000000" w:sz="4" w:space="0"/>
            </w:tcBorders>
            <w:noWrap w:val="0"/>
            <w:vAlign w:val="center"/>
          </w:tcPr>
          <w:p w14:paraId="16570BC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品牌（生产企业）</w:t>
            </w:r>
          </w:p>
        </w:tc>
        <w:tc>
          <w:tcPr>
            <w:tcW w:w="962" w:type="dxa"/>
            <w:vMerge w:val="restart"/>
            <w:tcBorders>
              <w:top w:val="single" w:color="000000" w:sz="4" w:space="0"/>
              <w:left w:val="single" w:color="000000" w:sz="4" w:space="0"/>
              <w:bottom w:val="single" w:color="000000" w:sz="4" w:space="0"/>
              <w:right w:val="single" w:color="000000" w:sz="4" w:space="0"/>
            </w:tcBorders>
            <w:noWrap w:val="0"/>
            <w:vAlign w:val="center"/>
          </w:tcPr>
          <w:p w14:paraId="6850A40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执行标准</w:t>
            </w:r>
          </w:p>
        </w:tc>
        <w:tc>
          <w:tcPr>
            <w:tcW w:w="973" w:type="dxa"/>
            <w:vMerge w:val="restart"/>
            <w:tcBorders>
              <w:top w:val="single" w:color="000000" w:sz="4" w:space="0"/>
              <w:left w:val="single" w:color="000000" w:sz="4" w:space="0"/>
              <w:bottom w:val="single" w:color="000000" w:sz="4" w:space="0"/>
              <w:right w:val="single" w:color="000000" w:sz="4" w:space="0"/>
            </w:tcBorders>
            <w:noWrap/>
            <w:vAlign w:val="center"/>
          </w:tcPr>
          <w:p w14:paraId="1F0468F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生产日期</w:t>
            </w:r>
          </w:p>
        </w:tc>
        <w:tc>
          <w:tcPr>
            <w:tcW w:w="992" w:type="dxa"/>
            <w:vMerge w:val="restart"/>
            <w:tcBorders>
              <w:top w:val="single" w:color="000000" w:sz="4" w:space="0"/>
              <w:left w:val="single" w:color="000000" w:sz="4" w:space="0"/>
              <w:bottom w:val="single" w:color="000000" w:sz="4" w:space="0"/>
              <w:right w:val="single" w:color="000000" w:sz="4" w:space="0"/>
            </w:tcBorders>
            <w:noWrap w:val="0"/>
            <w:vAlign w:val="center"/>
          </w:tcPr>
          <w:p w14:paraId="23F70B1C">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销售单位（门店网点）</w:t>
            </w:r>
          </w:p>
        </w:tc>
      </w:tr>
      <w:tr w14:paraId="14705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4F3E6933">
            <w:pPr>
              <w:jc w:val="center"/>
              <w:rPr>
                <w:rFonts w:hint="default" w:ascii="Times New Roman" w:hAnsi="Times New Roman" w:eastAsia="黑体" w:cs="Times New Roman"/>
                <w:i w:val="0"/>
                <w:iCs w:val="0"/>
                <w:color w:val="000000"/>
                <w:sz w:val="18"/>
                <w:szCs w:val="18"/>
                <w:u w:val="none"/>
              </w:rPr>
            </w:pPr>
          </w:p>
        </w:tc>
        <w:tc>
          <w:tcPr>
            <w:tcW w:w="1158" w:type="dxa"/>
            <w:vMerge w:val="continue"/>
            <w:tcBorders>
              <w:top w:val="single" w:color="000000" w:sz="4" w:space="0"/>
              <w:left w:val="single" w:color="000000" w:sz="4" w:space="0"/>
              <w:bottom w:val="single" w:color="000000" w:sz="4" w:space="0"/>
              <w:right w:val="single" w:color="000000" w:sz="4" w:space="0"/>
            </w:tcBorders>
            <w:noWrap/>
            <w:vAlign w:val="center"/>
          </w:tcPr>
          <w:p w14:paraId="1AE11452">
            <w:pPr>
              <w:jc w:val="center"/>
              <w:rPr>
                <w:rFonts w:hint="default" w:ascii="Times New Roman" w:hAnsi="Times New Roman" w:eastAsia="黑体" w:cs="Times New Roman"/>
                <w:i w:val="0"/>
                <w:iCs w:val="0"/>
                <w:color w:val="000000"/>
                <w:sz w:val="18"/>
                <w:szCs w:val="18"/>
                <w:u w:val="none"/>
              </w:rPr>
            </w:pPr>
          </w:p>
        </w:tc>
        <w:tc>
          <w:tcPr>
            <w:tcW w:w="10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DBDE8B">
            <w:pPr>
              <w:jc w:val="center"/>
              <w:rPr>
                <w:rFonts w:hint="default" w:ascii="Times New Roman" w:hAnsi="Times New Roman" w:eastAsia="黑体" w:cs="Times New Roman"/>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noWrap/>
            <w:vAlign w:val="center"/>
          </w:tcPr>
          <w:p w14:paraId="1A8D7081">
            <w:pPr>
              <w:jc w:val="center"/>
              <w:rPr>
                <w:rFonts w:hint="default" w:ascii="Times New Roman" w:hAnsi="Times New Roman" w:eastAsia="黑体" w:cs="Times New Roman"/>
                <w:i w:val="0"/>
                <w:iCs w:val="0"/>
                <w:color w:val="000000"/>
                <w:sz w:val="18"/>
                <w:szCs w:val="18"/>
                <w:u w:val="none"/>
              </w:rPr>
            </w:pPr>
          </w:p>
        </w:tc>
        <w:tc>
          <w:tcPr>
            <w:tcW w:w="1014" w:type="dxa"/>
            <w:vMerge w:val="continue"/>
            <w:tcBorders>
              <w:top w:val="single" w:color="000000" w:sz="4" w:space="0"/>
              <w:left w:val="single" w:color="000000" w:sz="4" w:space="0"/>
              <w:bottom w:val="single" w:color="000000" w:sz="4" w:space="0"/>
              <w:right w:val="single" w:color="000000" w:sz="4" w:space="0"/>
            </w:tcBorders>
            <w:noWrap/>
            <w:vAlign w:val="center"/>
          </w:tcPr>
          <w:p w14:paraId="498D938F">
            <w:pPr>
              <w:jc w:val="center"/>
              <w:rPr>
                <w:rFonts w:hint="default" w:ascii="Times New Roman" w:hAnsi="Times New Roman" w:eastAsia="黑体" w:cs="Times New Roman"/>
                <w:i w:val="0"/>
                <w:iCs w:val="0"/>
                <w:color w:val="000000"/>
                <w:sz w:val="18"/>
                <w:szCs w:val="18"/>
                <w:u w:val="none"/>
              </w:rPr>
            </w:pPr>
          </w:p>
        </w:tc>
        <w:tc>
          <w:tcPr>
            <w:tcW w:w="1014" w:type="dxa"/>
            <w:vMerge w:val="continue"/>
            <w:tcBorders>
              <w:top w:val="single" w:color="000000" w:sz="4" w:space="0"/>
              <w:left w:val="single" w:color="000000" w:sz="4" w:space="0"/>
              <w:bottom w:val="single" w:color="000000" w:sz="4" w:space="0"/>
              <w:right w:val="single" w:color="000000" w:sz="4" w:space="0"/>
            </w:tcBorders>
            <w:noWrap/>
            <w:vAlign w:val="center"/>
          </w:tcPr>
          <w:p w14:paraId="7D74BAF7">
            <w:pPr>
              <w:jc w:val="center"/>
              <w:rPr>
                <w:rFonts w:hint="default" w:ascii="Times New Roman" w:hAnsi="Times New Roman" w:eastAsia="黑体" w:cs="Times New Roman"/>
                <w:i w:val="0"/>
                <w:iCs w:val="0"/>
                <w:color w:val="000000"/>
                <w:sz w:val="18"/>
                <w:szCs w:val="18"/>
                <w:u w:val="none"/>
              </w:rPr>
            </w:pPr>
          </w:p>
        </w:tc>
        <w:tc>
          <w:tcPr>
            <w:tcW w:w="983" w:type="dxa"/>
            <w:vMerge w:val="continue"/>
            <w:tcBorders>
              <w:top w:val="single" w:color="000000" w:sz="4" w:space="0"/>
              <w:left w:val="single" w:color="000000" w:sz="4" w:space="0"/>
              <w:bottom w:val="single" w:color="000000" w:sz="4" w:space="0"/>
              <w:right w:val="single" w:color="000000" w:sz="4" w:space="0"/>
            </w:tcBorders>
            <w:noWrap/>
            <w:vAlign w:val="center"/>
          </w:tcPr>
          <w:p w14:paraId="5772E08D">
            <w:pPr>
              <w:jc w:val="center"/>
              <w:rPr>
                <w:rFonts w:hint="default" w:ascii="Times New Roman" w:hAnsi="Times New Roman" w:eastAsia="黑体" w:cs="Times New Roman"/>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7DEFD2">
            <w:pPr>
              <w:jc w:val="center"/>
              <w:rPr>
                <w:rFonts w:hint="default" w:ascii="Times New Roman" w:hAnsi="Times New Roman" w:eastAsia="黑体" w:cs="Times New Roman"/>
                <w:i w:val="0"/>
                <w:iCs w:val="0"/>
                <w:color w:val="000000"/>
                <w:sz w:val="18"/>
                <w:szCs w:val="18"/>
                <w:u w:val="none"/>
              </w:rPr>
            </w:pPr>
          </w:p>
        </w:tc>
        <w:tc>
          <w:tcPr>
            <w:tcW w:w="7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213F92">
            <w:pPr>
              <w:jc w:val="center"/>
              <w:rPr>
                <w:rFonts w:hint="default" w:ascii="Times New Roman" w:hAnsi="Times New Roman" w:eastAsia="黑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45407F6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厚度（mm）</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55740BF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宽度（mm）</w:t>
            </w:r>
          </w:p>
        </w:tc>
        <w:tc>
          <w:tcPr>
            <w:tcW w:w="9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466EB">
            <w:pPr>
              <w:jc w:val="center"/>
              <w:rPr>
                <w:rFonts w:hint="default" w:ascii="Times New Roman" w:hAnsi="Times New Roman" w:eastAsia="黑体" w:cs="Times New Roman"/>
                <w:i w:val="0"/>
                <w:iCs w:val="0"/>
                <w:color w:val="000000"/>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D723F">
            <w:pPr>
              <w:jc w:val="center"/>
              <w:rPr>
                <w:rFonts w:hint="default" w:ascii="Times New Roman" w:hAnsi="Times New Roman" w:eastAsia="黑体" w:cs="Times New Roman"/>
                <w:i w:val="0"/>
                <w:iCs w:val="0"/>
                <w:color w:val="000000"/>
                <w:sz w:val="18"/>
                <w:szCs w:val="18"/>
                <w:u w:val="none"/>
              </w:rPr>
            </w:pPr>
          </w:p>
        </w:tc>
        <w:tc>
          <w:tcPr>
            <w:tcW w:w="973" w:type="dxa"/>
            <w:vMerge w:val="continue"/>
            <w:tcBorders>
              <w:top w:val="single" w:color="000000" w:sz="4" w:space="0"/>
              <w:left w:val="single" w:color="000000" w:sz="4" w:space="0"/>
              <w:bottom w:val="single" w:color="000000" w:sz="4" w:space="0"/>
              <w:right w:val="single" w:color="000000" w:sz="4" w:space="0"/>
            </w:tcBorders>
            <w:noWrap/>
            <w:vAlign w:val="center"/>
          </w:tcPr>
          <w:p w14:paraId="1592E1A8">
            <w:pPr>
              <w:jc w:val="center"/>
              <w:rPr>
                <w:rFonts w:hint="default" w:ascii="Times New Roman" w:hAnsi="Times New Roman" w:eastAsia="黑体" w:cs="Times New Roman"/>
                <w:i w:val="0"/>
                <w:iCs w:val="0"/>
                <w:color w:val="000000"/>
                <w:sz w:val="18"/>
                <w:szCs w:val="18"/>
                <w:u w:val="none"/>
              </w:rPr>
            </w:pPr>
          </w:p>
        </w:tc>
        <w:tc>
          <w:tcPr>
            <w:tcW w:w="9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E4244E">
            <w:pPr>
              <w:jc w:val="center"/>
              <w:rPr>
                <w:rFonts w:hint="default" w:ascii="Times New Roman" w:hAnsi="Times New Roman" w:eastAsia="黑体" w:cs="Times New Roman"/>
                <w:i w:val="0"/>
                <w:iCs w:val="0"/>
                <w:color w:val="000000"/>
                <w:sz w:val="18"/>
                <w:szCs w:val="18"/>
                <w:u w:val="none"/>
              </w:rPr>
            </w:pPr>
          </w:p>
        </w:tc>
      </w:tr>
      <w:tr w14:paraId="75431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262C29B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182150B5">
            <w:pPr>
              <w:jc w:val="center"/>
              <w:rPr>
                <w:rFonts w:hint="default" w:ascii="Times New Roman" w:hAnsi="Times New Roman" w:eastAsia="黑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2193A700">
            <w:pPr>
              <w:jc w:val="center"/>
              <w:rPr>
                <w:rFonts w:hint="default" w:ascii="Times New Roman" w:hAnsi="Times New Roman" w:eastAsia="黑体" w:cs="Times New Roman"/>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69486CF0">
            <w:pPr>
              <w:jc w:val="center"/>
              <w:rPr>
                <w:rFonts w:hint="default" w:ascii="Times New Roman" w:hAnsi="Times New Roman" w:eastAsia="黑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3EAD31DF">
            <w:pPr>
              <w:jc w:val="center"/>
              <w:rPr>
                <w:rFonts w:hint="default" w:ascii="Times New Roman" w:hAnsi="Times New Roman" w:eastAsia="黑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1EA0E0F9">
            <w:pPr>
              <w:jc w:val="center"/>
              <w:rPr>
                <w:rFonts w:hint="default" w:ascii="Times New Roman" w:hAnsi="Times New Roman" w:eastAsia="黑体" w:cs="Times New Roman"/>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7C78D0AE">
            <w:pPr>
              <w:jc w:val="center"/>
              <w:rPr>
                <w:rFonts w:hint="default" w:ascii="Times New Roman" w:hAnsi="Times New Roman" w:eastAsia="黑体" w:cs="Times New Roman"/>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41DF799">
            <w:pPr>
              <w:jc w:val="center"/>
              <w:rPr>
                <w:rFonts w:hint="default" w:ascii="Times New Roman" w:hAnsi="Times New Roman" w:eastAsia="黑体" w:cs="Times New Roman"/>
                <w:i w:val="0"/>
                <w:iCs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2CCD4778">
            <w:pPr>
              <w:jc w:val="center"/>
              <w:rPr>
                <w:rFonts w:hint="default" w:ascii="Times New Roman" w:hAnsi="Times New Roman" w:eastAsia="黑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44BA4750">
            <w:pPr>
              <w:jc w:val="center"/>
              <w:rPr>
                <w:rFonts w:hint="default" w:ascii="Times New Roman" w:hAnsi="Times New Roman" w:eastAsia="黑体" w:cs="Times New Roman"/>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14:paraId="67E45C20">
            <w:pPr>
              <w:jc w:val="center"/>
              <w:rPr>
                <w:rFonts w:hint="default" w:ascii="Times New Roman" w:hAnsi="Times New Roman" w:eastAsia="黑体" w:cs="Times New Roman"/>
                <w:i w:val="0"/>
                <w:iCs w:val="0"/>
                <w:color w:val="000000"/>
                <w:sz w:val="18"/>
                <w:szCs w:val="18"/>
                <w:u w:val="none"/>
              </w:rPr>
            </w:pP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7DAC10D2">
            <w:pPr>
              <w:jc w:val="center"/>
              <w:rPr>
                <w:rFonts w:hint="default" w:ascii="Times New Roman" w:hAnsi="Times New Roman" w:eastAsia="黑体" w:cs="Times New Roman"/>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09226A25">
            <w:pPr>
              <w:jc w:val="center"/>
              <w:rPr>
                <w:rFonts w:hint="default" w:ascii="Times New Roman" w:hAnsi="Times New Roman" w:eastAsia="黑体" w:cs="Times New Roman"/>
                <w:i w:val="0"/>
                <w:iCs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1AF14C46">
            <w:pPr>
              <w:jc w:val="center"/>
              <w:rPr>
                <w:rFonts w:hint="default" w:ascii="Times New Roman" w:hAnsi="Times New Roman" w:eastAsia="黑体" w:cs="Times New Roman"/>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565E0E9">
            <w:pPr>
              <w:jc w:val="center"/>
              <w:rPr>
                <w:rFonts w:hint="default" w:ascii="Times New Roman" w:hAnsi="Times New Roman" w:eastAsia="黑体" w:cs="Times New Roman"/>
                <w:i w:val="0"/>
                <w:iCs w:val="0"/>
                <w:color w:val="000000"/>
                <w:sz w:val="18"/>
                <w:szCs w:val="18"/>
                <w:u w:val="none"/>
              </w:rPr>
            </w:pPr>
          </w:p>
        </w:tc>
      </w:tr>
      <w:tr w14:paraId="7FEE2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06AF3ADA">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48465FE0">
            <w:pPr>
              <w:jc w:val="center"/>
              <w:rPr>
                <w:rFonts w:hint="default" w:ascii="Times New Roman" w:hAnsi="Times New Roman" w:eastAsia="黑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450544F2">
            <w:pPr>
              <w:jc w:val="center"/>
              <w:rPr>
                <w:rFonts w:hint="default" w:ascii="Times New Roman" w:hAnsi="Times New Roman" w:eastAsia="黑体" w:cs="Times New Roman"/>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12FCE098">
            <w:pPr>
              <w:jc w:val="center"/>
              <w:rPr>
                <w:rFonts w:hint="default" w:ascii="Times New Roman" w:hAnsi="Times New Roman" w:eastAsia="黑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602D5001">
            <w:pPr>
              <w:jc w:val="center"/>
              <w:rPr>
                <w:rFonts w:hint="default" w:ascii="Times New Roman" w:hAnsi="Times New Roman" w:eastAsia="黑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59007209">
            <w:pPr>
              <w:jc w:val="center"/>
              <w:rPr>
                <w:rFonts w:hint="default" w:ascii="Times New Roman" w:hAnsi="Times New Roman" w:eastAsia="黑体" w:cs="Times New Roman"/>
                <w:i w:val="0"/>
                <w:iCs w:val="0"/>
                <w:color w:val="FF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4C2DF7A5">
            <w:pPr>
              <w:jc w:val="center"/>
              <w:rPr>
                <w:rFonts w:hint="default" w:ascii="Times New Roman" w:hAnsi="Times New Roman" w:eastAsia="黑体" w:cs="Times New Roman"/>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BEAB18F">
            <w:pPr>
              <w:jc w:val="center"/>
              <w:rPr>
                <w:rFonts w:hint="default" w:ascii="Times New Roman" w:hAnsi="Times New Roman" w:eastAsia="黑体" w:cs="Times New Roman"/>
                <w:i w:val="0"/>
                <w:iCs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185963EC">
            <w:pPr>
              <w:jc w:val="center"/>
              <w:rPr>
                <w:rFonts w:hint="default" w:ascii="Times New Roman" w:hAnsi="Times New Roman" w:eastAsia="黑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674B7A08">
            <w:pPr>
              <w:jc w:val="center"/>
              <w:rPr>
                <w:rFonts w:hint="default" w:ascii="Times New Roman" w:hAnsi="Times New Roman" w:eastAsia="黑体" w:cs="Times New Roman"/>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14:paraId="79DEBDFF">
            <w:pPr>
              <w:jc w:val="center"/>
              <w:rPr>
                <w:rFonts w:hint="default" w:ascii="Times New Roman" w:hAnsi="Times New Roman" w:eastAsia="黑体" w:cs="Times New Roman"/>
                <w:i w:val="0"/>
                <w:iCs w:val="0"/>
                <w:color w:val="000000"/>
                <w:sz w:val="18"/>
                <w:szCs w:val="18"/>
                <w:u w:val="none"/>
              </w:rPr>
            </w:pP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09A185B2">
            <w:pPr>
              <w:jc w:val="center"/>
              <w:rPr>
                <w:rFonts w:hint="default" w:ascii="Times New Roman" w:hAnsi="Times New Roman" w:eastAsia="黑体" w:cs="Times New Roman"/>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6D349988">
            <w:pPr>
              <w:jc w:val="center"/>
              <w:rPr>
                <w:rFonts w:hint="default" w:ascii="Times New Roman" w:hAnsi="Times New Roman" w:eastAsia="黑体" w:cs="Times New Roman"/>
                <w:i w:val="0"/>
                <w:iCs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333BB9C5">
            <w:pPr>
              <w:jc w:val="center"/>
              <w:rPr>
                <w:rFonts w:hint="default" w:ascii="Times New Roman" w:hAnsi="Times New Roman" w:eastAsia="黑体" w:cs="Times New Roman"/>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211B3286">
            <w:pPr>
              <w:jc w:val="center"/>
              <w:rPr>
                <w:rFonts w:hint="default" w:ascii="Times New Roman" w:hAnsi="Times New Roman" w:eastAsia="黑体" w:cs="Times New Roman"/>
                <w:i w:val="0"/>
                <w:iCs w:val="0"/>
                <w:color w:val="000000"/>
                <w:sz w:val="18"/>
                <w:szCs w:val="18"/>
                <w:u w:val="none"/>
              </w:rPr>
            </w:pPr>
          </w:p>
        </w:tc>
      </w:tr>
      <w:tr w14:paraId="5B3BC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6D51C1C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3</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38C3A936">
            <w:pPr>
              <w:jc w:val="center"/>
              <w:rPr>
                <w:rFonts w:hint="default" w:ascii="Times New Roman" w:hAnsi="Times New Roman" w:eastAsia="黑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4678A3F1">
            <w:pPr>
              <w:jc w:val="center"/>
              <w:rPr>
                <w:rFonts w:hint="default" w:ascii="Times New Roman" w:hAnsi="Times New Roman" w:eastAsia="黑体" w:cs="Times New Roman"/>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6705DA26">
            <w:pPr>
              <w:jc w:val="center"/>
              <w:rPr>
                <w:rFonts w:hint="default" w:ascii="Times New Roman" w:hAnsi="Times New Roman" w:eastAsia="黑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73E8925E">
            <w:pPr>
              <w:jc w:val="center"/>
              <w:rPr>
                <w:rFonts w:hint="default" w:ascii="Times New Roman" w:hAnsi="Times New Roman" w:eastAsia="黑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12CC3F1D">
            <w:pPr>
              <w:jc w:val="center"/>
              <w:rPr>
                <w:rFonts w:hint="default" w:ascii="Times New Roman" w:hAnsi="Times New Roman" w:eastAsia="黑体" w:cs="Times New Roman"/>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1985866E">
            <w:pPr>
              <w:jc w:val="center"/>
              <w:rPr>
                <w:rFonts w:hint="default" w:ascii="Times New Roman" w:hAnsi="Times New Roman" w:eastAsia="黑体" w:cs="Times New Roman"/>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0B15600">
            <w:pPr>
              <w:jc w:val="center"/>
              <w:rPr>
                <w:rFonts w:hint="default" w:ascii="Times New Roman" w:hAnsi="Times New Roman" w:eastAsia="黑体" w:cs="Times New Roman"/>
                <w:i w:val="0"/>
                <w:iCs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3D514DF7">
            <w:pPr>
              <w:jc w:val="center"/>
              <w:rPr>
                <w:rFonts w:hint="default" w:ascii="Times New Roman" w:hAnsi="Times New Roman" w:eastAsia="黑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67790037">
            <w:pPr>
              <w:jc w:val="center"/>
              <w:rPr>
                <w:rFonts w:hint="default" w:ascii="Times New Roman" w:hAnsi="Times New Roman" w:eastAsia="黑体" w:cs="Times New Roman"/>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14:paraId="250ADC2D">
            <w:pPr>
              <w:jc w:val="center"/>
              <w:rPr>
                <w:rFonts w:hint="default" w:ascii="Times New Roman" w:hAnsi="Times New Roman" w:eastAsia="黑体" w:cs="Times New Roman"/>
                <w:i w:val="0"/>
                <w:iCs w:val="0"/>
                <w:color w:val="000000"/>
                <w:sz w:val="18"/>
                <w:szCs w:val="18"/>
                <w:u w:val="none"/>
              </w:rPr>
            </w:pP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1BB31381">
            <w:pPr>
              <w:jc w:val="center"/>
              <w:rPr>
                <w:rFonts w:hint="default" w:ascii="Times New Roman" w:hAnsi="Times New Roman" w:eastAsia="黑体" w:cs="Times New Roman"/>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8F04548">
            <w:pPr>
              <w:jc w:val="center"/>
              <w:rPr>
                <w:rFonts w:hint="default" w:ascii="Times New Roman" w:hAnsi="Times New Roman" w:eastAsia="黑体" w:cs="Times New Roman"/>
                <w:i w:val="0"/>
                <w:iCs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59F9669D">
            <w:pPr>
              <w:jc w:val="center"/>
              <w:rPr>
                <w:rFonts w:hint="default" w:ascii="Times New Roman" w:hAnsi="Times New Roman" w:eastAsia="黑体" w:cs="Times New Roman"/>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171E1B04">
            <w:pPr>
              <w:jc w:val="center"/>
              <w:rPr>
                <w:rFonts w:hint="default" w:ascii="Times New Roman" w:hAnsi="Times New Roman" w:eastAsia="黑体" w:cs="Times New Roman"/>
                <w:i w:val="0"/>
                <w:iCs w:val="0"/>
                <w:color w:val="000000"/>
                <w:sz w:val="18"/>
                <w:szCs w:val="18"/>
                <w:u w:val="none"/>
              </w:rPr>
            </w:pPr>
          </w:p>
        </w:tc>
      </w:tr>
      <w:tr w14:paraId="01293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66CFD3E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4</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74CAAD17">
            <w:pPr>
              <w:jc w:val="center"/>
              <w:rPr>
                <w:rFonts w:hint="default" w:ascii="Times New Roman" w:hAnsi="Times New Roman" w:eastAsia="黑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1F50D88B">
            <w:pPr>
              <w:jc w:val="center"/>
              <w:rPr>
                <w:rFonts w:hint="default" w:ascii="Times New Roman" w:hAnsi="Times New Roman" w:eastAsia="黑体" w:cs="Times New Roman"/>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3F845B91">
            <w:pPr>
              <w:jc w:val="center"/>
              <w:rPr>
                <w:rFonts w:hint="default" w:ascii="Times New Roman" w:hAnsi="Times New Roman" w:eastAsia="黑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25BD497C">
            <w:pPr>
              <w:jc w:val="center"/>
              <w:rPr>
                <w:rFonts w:hint="default" w:ascii="Times New Roman" w:hAnsi="Times New Roman" w:eastAsia="黑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3C797C1C">
            <w:pPr>
              <w:jc w:val="center"/>
              <w:rPr>
                <w:rFonts w:hint="default" w:ascii="Times New Roman" w:hAnsi="Times New Roman" w:eastAsia="黑体" w:cs="Times New Roman"/>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2D6A2E16">
            <w:pPr>
              <w:jc w:val="center"/>
              <w:rPr>
                <w:rFonts w:hint="default" w:ascii="Times New Roman" w:hAnsi="Times New Roman" w:eastAsia="黑体" w:cs="Times New Roman"/>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AB27FF0">
            <w:pPr>
              <w:jc w:val="center"/>
              <w:rPr>
                <w:rFonts w:hint="default" w:ascii="Times New Roman" w:hAnsi="Times New Roman" w:eastAsia="黑体" w:cs="Times New Roman"/>
                <w:i w:val="0"/>
                <w:iCs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723F7C3B">
            <w:pPr>
              <w:jc w:val="center"/>
              <w:rPr>
                <w:rFonts w:hint="default" w:ascii="Times New Roman" w:hAnsi="Times New Roman" w:eastAsia="黑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4A1446ED">
            <w:pPr>
              <w:jc w:val="center"/>
              <w:rPr>
                <w:rFonts w:hint="default" w:ascii="Times New Roman" w:hAnsi="Times New Roman" w:eastAsia="黑体" w:cs="Times New Roman"/>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14:paraId="70DAB06E">
            <w:pPr>
              <w:jc w:val="center"/>
              <w:rPr>
                <w:rFonts w:hint="default" w:ascii="Times New Roman" w:hAnsi="Times New Roman" w:eastAsia="黑体" w:cs="Times New Roman"/>
                <w:i w:val="0"/>
                <w:iCs w:val="0"/>
                <w:color w:val="000000"/>
                <w:sz w:val="18"/>
                <w:szCs w:val="18"/>
                <w:u w:val="none"/>
              </w:rPr>
            </w:pP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2A5C8FB0">
            <w:pPr>
              <w:jc w:val="center"/>
              <w:rPr>
                <w:rFonts w:hint="default" w:ascii="Times New Roman" w:hAnsi="Times New Roman" w:eastAsia="黑体" w:cs="Times New Roman"/>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4DFC0D2E">
            <w:pPr>
              <w:jc w:val="center"/>
              <w:rPr>
                <w:rFonts w:hint="default" w:ascii="Times New Roman" w:hAnsi="Times New Roman" w:eastAsia="黑体" w:cs="Times New Roman"/>
                <w:i w:val="0"/>
                <w:iCs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0CD24A7E">
            <w:pPr>
              <w:jc w:val="center"/>
              <w:rPr>
                <w:rFonts w:hint="default" w:ascii="Times New Roman" w:hAnsi="Times New Roman" w:eastAsia="黑体" w:cs="Times New Roman"/>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0DA37384">
            <w:pPr>
              <w:jc w:val="center"/>
              <w:rPr>
                <w:rFonts w:hint="default" w:ascii="Times New Roman" w:hAnsi="Times New Roman" w:eastAsia="黑体" w:cs="Times New Roman"/>
                <w:i w:val="0"/>
                <w:iCs w:val="0"/>
                <w:color w:val="000000"/>
                <w:sz w:val="18"/>
                <w:szCs w:val="18"/>
                <w:u w:val="none"/>
              </w:rPr>
            </w:pPr>
          </w:p>
        </w:tc>
      </w:tr>
      <w:tr w14:paraId="62C9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135EE34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5</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72461196">
            <w:pPr>
              <w:jc w:val="center"/>
              <w:rPr>
                <w:rFonts w:hint="default" w:ascii="Times New Roman" w:hAnsi="Times New Roman" w:eastAsia="黑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36F18D4C">
            <w:pPr>
              <w:jc w:val="center"/>
              <w:rPr>
                <w:rFonts w:hint="default" w:ascii="Times New Roman" w:hAnsi="Times New Roman" w:eastAsia="黑体" w:cs="Times New Roman"/>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5479B753">
            <w:pPr>
              <w:jc w:val="center"/>
              <w:rPr>
                <w:rFonts w:hint="default" w:ascii="Times New Roman" w:hAnsi="Times New Roman" w:eastAsia="黑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191EAAAC">
            <w:pPr>
              <w:jc w:val="center"/>
              <w:rPr>
                <w:rFonts w:hint="default" w:ascii="Times New Roman" w:hAnsi="Times New Roman" w:eastAsia="黑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7A732B33">
            <w:pPr>
              <w:jc w:val="center"/>
              <w:rPr>
                <w:rFonts w:hint="default" w:ascii="Times New Roman" w:hAnsi="Times New Roman" w:eastAsia="黑体" w:cs="Times New Roman"/>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798B64B2">
            <w:pPr>
              <w:jc w:val="center"/>
              <w:rPr>
                <w:rFonts w:hint="default" w:ascii="Times New Roman" w:hAnsi="Times New Roman" w:eastAsia="黑体" w:cs="Times New Roman"/>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6B391A3">
            <w:pPr>
              <w:jc w:val="center"/>
              <w:rPr>
                <w:rFonts w:hint="default" w:ascii="Times New Roman" w:hAnsi="Times New Roman" w:eastAsia="黑体" w:cs="Times New Roman"/>
                <w:i w:val="0"/>
                <w:iCs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50F3ADB3">
            <w:pPr>
              <w:jc w:val="center"/>
              <w:rPr>
                <w:rFonts w:hint="default" w:ascii="Times New Roman" w:hAnsi="Times New Roman" w:eastAsia="黑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79DBD425">
            <w:pPr>
              <w:jc w:val="center"/>
              <w:rPr>
                <w:rFonts w:hint="default" w:ascii="Times New Roman" w:hAnsi="Times New Roman" w:eastAsia="黑体" w:cs="Times New Roman"/>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14:paraId="3C2BAC45">
            <w:pPr>
              <w:jc w:val="center"/>
              <w:rPr>
                <w:rFonts w:hint="default" w:ascii="Times New Roman" w:hAnsi="Times New Roman" w:eastAsia="黑体" w:cs="Times New Roman"/>
                <w:i w:val="0"/>
                <w:iCs w:val="0"/>
                <w:color w:val="000000"/>
                <w:sz w:val="18"/>
                <w:szCs w:val="18"/>
                <w:u w:val="none"/>
              </w:rPr>
            </w:pP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52F27907">
            <w:pPr>
              <w:jc w:val="center"/>
              <w:rPr>
                <w:rFonts w:hint="default" w:ascii="Times New Roman" w:hAnsi="Times New Roman" w:eastAsia="黑体" w:cs="Times New Roman"/>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7CE42AD1">
            <w:pPr>
              <w:jc w:val="center"/>
              <w:rPr>
                <w:rFonts w:hint="default" w:ascii="Times New Roman" w:hAnsi="Times New Roman" w:eastAsia="黑体" w:cs="Times New Roman"/>
                <w:i w:val="0"/>
                <w:iCs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5C4CC6C6">
            <w:pPr>
              <w:jc w:val="center"/>
              <w:rPr>
                <w:rFonts w:hint="default" w:ascii="Times New Roman" w:hAnsi="Times New Roman" w:eastAsia="黑体" w:cs="Times New Roman"/>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51598FCF">
            <w:pPr>
              <w:jc w:val="center"/>
              <w:rPr>
                <w:rFonts w:hint="default" w:ascii="Times New Roman" w:hAnsi="Times New Roman" w:eastAsia="黑体" w:cs="Times New Roman"/>
                <w:i w:val="0"/>
                <w:iCs w:val="0"/>
                <w:color w:val="000000"/>
                <w:sz w:val="18"/>
                <w:szCs w:val="18"/>
                <w:u w:val="none"/>
              </w:rPr>
            </w:pPr>
          </w:p>
        </w:tc>
      </w:tr>
      <w:tr w14:paraId="27905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7EFD5E3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6</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75F3288D">
            <w:pPr>
              <w:jc w:val="center"/>
              <w:rPr>
                <w:rFonts w:hint="default" w:ascii="Times New Roman" w:hAnsi="Times New Roman" w:eastAsia="黑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128B5BA8">
            <w:pPr>
              <w:jc w:val="center"/>
              <w:rPr>
                <w:rFonts w:hint="default" w:ascii="Times New Roman" w:hAnsi="Times New Roman" w:eastAsia="黑体" w:cs="Times New Roman"/>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7D37449F">
            <w:pPr>
              <w:jc w:val="center"/>
              <w:rPr>
                <w:rFonts w:hint="default" w:ascii="Times New Roman" w:hAnsi="Times New Roman" w:eastAsia="黑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3217C09D">
            <w:pPr>
              <w:jc w:val="center"/>
              <w:rPr>
                <w:rFonts w:hint="default" w:ascii="Times New Roman" w:hAnsi="Times New Roman" w:eastAsia="黑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21C3EFD4">
            <w:pPr>
              <w:jc w:val="center"/>
              <w:rPr>
                <w:rFonts w:hint="default" w:ascii="Times New Roman" w:hAnsi="Times New Roman" w:eastAsia="黑体" w:cs="Times New Roman"/>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4849710F">
            <w:pPr>
              <w:jc w:val="center"/>
              <w:rPr>
                <w:rFonts w:hint="default" w:ascii="Times New Roman" w:hAnsi="Times New Roman" w:eastAsia="黑体" w:cs="Times New Roman"/>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FE573A8">
            <w:pPr>
              <w:jc w:val="center"/>
              <w:rPr>
                <w:rFonts w:hint="default" w:ascii="Times New Roman" w:hAnsi="Times New Roman" w:eastAsia="黑体" w:cs="Times New Roman"/>
                <w:i w:val="0"/>
                <w:iCs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19ED9DEC">
            <w:pPr>
              <w:jc w:val="center"/>
              <w:rPr>
                <w:rFonts w:hint="default" w:ascii="Times New Roman" w:hAnsi="Times New Roman" w:eastAsia="黑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12E65840">
            <w:pPr>
              <w:jc w:val="center"/>
              <w:rPr>
                <w:rFonts w:hint="default" w:ascii="Times New Roman" w:hAnsi="Times New Roman" w:eastAsia="黑体" w:cs="Times New Roman"/>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14:paraId="23145873">
            <w:pPr>
              <w:jc w:val="center"/>
              <w:rPr>
                <w:rFonts w:hint="default" w:ascii="Times New Roman" w:hAnsi="Times New Roman" w:eastAsia="黑体" w:cs="Times New Roman"/>
                <w:i w:val="0"/>
                <w:iCs w:val="0"/>
                <w:color w:val="000000"/>
                <w:sz w:val="18"/>
                <w:szCs w:val="18"/>
                <w:u w:val="none"/>
              </w:rPr>
            </w:pP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3DF7793E">
            <w:pPr>
              <w:jc w:val="center"/>
              <w:rPr>
                <w:rFonts w:hint="default" w:ascii="Times New Roman" w:hAnsi="Times New Roman" w:eastAsia="黑体" w:cs="Times New Roman"/>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11F85E31">
            <w:pPr>
              <w:jc w:val="center"/>
              <w:rPr>
                <w:rFonts w:hint="default" w:ascii="Times New Roman" w:hAnsi="Times New Roman" w:eastAsia="黑体" w:cs="Times New Roman"/>
                <w:i w:val="0"/>
                <w:iCs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6F0B9E63">
            <w:pPr>
              <w:jc w:val="center"/>
              <w:rPr>
                <w:rFonts w:hint="default" w:ascii="Times New Roman" w:hAnsi="Times New Roman" w:eastAsia="黑体" w:cs="Times New Roman"/>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412E935">
            <w:pPr>
              <w:jc w:val="center"/>
              <w:rPr>
                <w:rFonts w:hint="default" w:ascii="Times New Roman" w:hAnsi="Times New Roman" w:eastAsia="黑体" w:cs="Times New Roman"/>
                <w:i w:val="0"/>
                <w:iCs w:val="0"/>
                <w:color w:val="000000"/>
                <w:sz w:val="18"/>
                <w:szCs w:val="18"/>
                <w:u w:val="none"/>
              </w:rPr>
            </w:pPr>
          </w:p>
        </w:tc>
      </w:tr>
      <w:tr w14:paraId="5C5D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5DBAFCC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7</w:t>
            </w:r>
          </w:p>
        </w:tc>
        <w:tc>
          <w:tcPr>
            <w:tcW w:w="1158" w:type="dxa"/>
            <w:tcBorders>
              <w:top w:val="single" w:color="000000" w:sz="4" w:space="0"/>
              <w:left w:val="single" w:color="000000" w:sz="4" w:space="0"/>
              <w:bottom w:val="single" w:color="000000" w:sz="4" w:space="0"/>
              <w:right w:val="single" w:color="000000" w:sz="4" w:space="0"/>
            </w:tcBorders>
            <w:noWrap/>
            <w:vAlign w:val="center"/>
          </w:tcPr>
          <w:p w14:paraId="5A9CF237">
            <w:pPr>
              <w:jc w:val="center"/>
              <w:rPr>
                <w:rFonts w:hint="default" w:ascii="Times New Roman" w:hAnsi="Times New Roman" w:eastAsia="黑体" w:cs="Times New Roman"/>
                <w:i w:val="0"/>
                <w:iCs w:val="0"/>
                <w:color w:val="000000"/>
                <w:sz w:val="18"/>
                <w:szCs w:val="18"/>
                <w:u w:val="none"/>
              </w:rPr>
            </w:pPr>
          </w:p>
        </w:tc>
        <w:tc>
          <w:tcPr>
            <w:tcW w:w="1097" w:type="dxa"/>
            <w:tcBorders>
              <w:top w:val="single" w:color="000000" w:sz="4" w:space="0"/>
              <w:left w:val="single" w:color="000000" w:sz="4" w:space="0"/>
              <w:bottom w:val="single" w:color="000000" w:sz="4" w:space="0"/>
              <w:right w:val="single" w:color="000000" w:sz="4" w:space="0"/>
            </w:tcBorders>
            <w:noWrap/>
            <w:vAlign w:val="center"/>
          </w:tcPr>
          <w:p w14:paraId="5CB45FBD">
            <w:pPr>
              <w:jc w:val="center"/>
              <w:rPr>
                <w:rFonts w:hint="default" w:ascii="Times New Roman" w:hAnsi="Times New Roman" w:eastAsia="黑体" w:cs="Times New Roman"/>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6AD02F9D">
            <w:pPr>
              <w:jc w:val="center"/>
              <w:rPr>
                <w:rFonts w:hint="default" w:ascii="Times New Roman" w:hAnsi="Times New Roman" w:eastAsia="黑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6DFC3148">
            <w:pPr>
              <w:jc w:val="center"/>
              <w:rPr>
                <w:rFonts w:hint="default" w:ascii="Times New Roman" w:hAnsi="Times New Roman" w:eastAsia="黑体" w:cs="Times New Roman"/>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3F04201C">
            <w:pPr>
              <w:jc w:val="center"/>
              <w:rPr>
                <w:rFonts w:hint="default" w:ascii="Times New Roman" w:hAnsi="Times New Roman" w:eastAsia="黑体" w:cs="Times New Roman"/>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11FA2260">
            <w:pPr>
              <w:jc w:val="center"/>
              <w:rPr>
                <w:rFonts w:hint="default" w:ascii="Times New Roman" w:hAnsi="Times New Roman" w:eastAsia="黑体" w:cs="Times New Roman"/>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035E2F5">
            <w:pPr>
              <w:jc w:val="center"/>
              <w:rPr>
                <w:rFonts w:hint="default" w:ascii="Times New Roman" w:hAnsi="Times New Roman" w:eastAsia="黑体" w:cs="Times New Roman"/>
                <w:i w:val="0"/>
                <w:iCs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2F5298D">
            <w:pPr>
              <w:jc w:val="center"/>
              <w:rPr>
                <w:rFonts w:hint="default" w:ascii="Times New Roman" w:hAnsi="Times New Roman" w:eastAsia="黑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49A531C9">
            <w:pPr>
              <w:jc w:val="center"/>
              <w:rPr>
                <w:rFonts w:hint="default" w:ascii="Times New Roman" w:hAnsi="Times New Roman" w:eastAsia="黑体" w:cs="Times New Roman"/>
                <w:i w:val="0"/>
                <w:iCs w:val="0"/>
                <w:color w:val="000000"/>
                <w:sz w:val="18"/>
                <w:szCs w:val="18"/>
                <w:u w:val="none"/>
              </w:rPr>
            </w:pPr>
          </w:p>
        </w:tc>
        <w:tc>
          <w:tcPr>
            <w:tcW w:w="722" w:type="dxa"/>
            <w:tcBorders>
              <w:top w:val="single" w:color="000000" w:sz="4" w:space="0"/>
              <w:left w:val="single" w:color="000000" w:sz="4" w:space="0"/>
              <w:bottom w:val="single" w:color="000000" w:sz="4" w:space="0"/>
              <w:right w:val="single" w:color="000000" w:sz="4" w:space="0"/>
            </w:tcBorders>
            <w:noWrap/>
            <w:vAlign w:val="center"/>
          </w:tcPr>
          <w:p w14:paraId="63225DEB">
            <w:pPr>
              <w:jc w:val="center"/>
              <w:rPr>
                <w:rFonts w:hint="default" w:ascii="Times New Roman" w:hAnsi="Times New Roman" w:eastAsia="黑体" w:cs="Times New Roman"/>
                <w:i w:val="0"/>
                <w:iCs w:val="0"/>
                <w:color w:val="000000"/>
                <w:sz w:val="18"/>
                <w:szCs w:val="18"/>
                <w:u w:val="none"/>
              </w:rPr>
            </w:pP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1A43DBB7">
            <w:pPr>
              <w:jc w:val="center"/>
              <w:rPr>
                <w:rFonts w:hint="default" w:ascii="Times New Roman" w:hAnsi="Times New Roman" w:eastAsia="黑体" w:cs="Times New Roman"/>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44E80B81">
            <w:pPr>
              <w:jc w:val="center"/>
              <w:rPr>
                <w:rFonts w:hint="default" w:ascii="Times New Roman" w:hAnsi="Times New Roman" w:eastAsia="黑体" w:cs="Times New Roman"/>
                <w:i w:val="0"/>
                <w:iCs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5F1DE415">
            <w:pPr>
              <w:jc w:val="center"/>
              <w:rPr>
                <w:rFonts w:hint="default" w:ascii="Times New Roman" w:hAnsi="Times New Roman" w:eastAsia="黑体" w:cs="Times New Roman"/>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41EE95A1">
            <w:pPr>
              <w:jc w:val="center"/>
              <w:rPr>
                <w:rFonts w:hint="default" w:ascii="Times New Roman" w:hAnsi="Times New Roman" w:eastAsia="黑体" w:cs="Times New Roman"/>
                <w:i w:val="0"/>
                <w:iCs w:val="0"/>
                <w:color w:val="000000"/>
                <w:sz w:val="18"/>
                <w:szCs w:val="18"/>
                <w:u w:val="none"/>
              </w:rPr>
            </w:pPr>
          </w:p>
        </w:tc>
      </w:tr>
      <w:tr w14:paraId="3893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6977" w:type="dxa"/>
            <w:gridSpan w:val="7"/>
            <w:tcBorders>
              <w:top w:val="nil"/>
              <w:left w:val="nil"/>
              <w:bottom w:val="nil"/>
              <w:right w:val="nil"/>
            </w:tcBorders>
            <w:noWrap/>
            <w:vAlign w:val="center"/>
          </w:tcPr>
          <w:p w14:paraId="01BF0EB6">
            <w:pP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乡镇（签字、盖章）：</w:t>
            </w:r>
          </w:p>
        </w:tc>
        <w:tc>
          <w:tcPr>
            <w:tcW w:w="993" w:type="dxa"/>
            <w:tcBorders>
              <w:top w:val="nil"/>
              <w:left w:val="nil"/>
              <w:bottom w:val="nil"/>
              <w:right w:val="nil"/>
            </w:tcBorders>
            <w:noWrap/>
            <w:vAlign w:val="center"/>
          </w:tcPr>
          <w:p w14:paraId="5F3EAC07">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填报人：</w:t>
            </w:r>
          </w:p>
        </w:tc>
        <w:tc>
          <w:tcPr>
            <w:tcW w:w="797" w:type="dxa"/>
            <w:tcBorders>
              <w:top w:val="nil"/>
              <w:left w:val="nil"/>
              <w:bottom w:val="nil"/>
              <w:right w:val="nil"/>
            </w:tcBorders>
            <w:noWrap/>
            <w:vAlign w:val="center"/>
          </w:tcPr>
          <w:p w14:paraId="2EDF9636">
            <w:pPr>
              <w:rPr>
                <w:rFonts w:hint="default" w:ascii="Times New Roman" w:hAnsi="Times New Roman" w:eastAsia="黑体" w:cs="Times New Roman"/>
                <w:i w:val="0"/>
                <w:iCs w:val="0"/>
                <w:color w:val="000000"/>
                <w:sz w:val="18"/>
                <w:szCs w:val="18"/>
                <w:u w:val="none"/>
              </w:rPr>
            </w:pPr>
          </w:p>
        </w:tc>
        <w:tc>
          <w:tcPr>
            <w:tcW w:w="721" w:type="dxa"/>
            <w:tcBorders>
              <w:top w:val="nil"/>
              <w:left w:val="nil"/>
              <w:bottom w:val="nil"/>
              <w:right w:val="nil"/>
            </w:tcBorders>
            <w:noWrap/>
            <w:vAlign w:val="center"/>
          </w:tcPr>
          <w:p w14:paraId="6266B129">
            <w:pPr>
              <w:rPr>
                <w:rFonts w:hint="default" w:ascii="Times New Roman" w:hAnsi="Times New Roman" w:eastAsia="黑体" w:cs="Times New Roman"/>
                <w:i w:val="0"/>
                <w:iCs w:val="0"/>
                <w:color w:val="000000"/>
                <w:sz w:val="18"/>
                <w:szCs w:val="18"/>
                <w:u w:val="none"/>
              </w:rPr>
            </w:pPr>
          </w:p>
        </w:tc>
        <w:tc>
          <w:tcPr>
            <w:tcW w:w="722" w:type="dxa"/>
            <w:tcBorders>
              <w:top w:val="nil"/>
              <w:left w:val="nil"/>
              <w:bottom w:val="nil"/>
              <w:right w:val="nil"/>
            </w:tcBorders>
            <w:noWrap/>
            <w:vAlign w:val="center"/>
          </w:tcPr>
          <w:p w14:paraId="70600386">
            <w:pPr>
              <w:rPr>
                <w:rFonts w:hint="default" w:ascii="Times New Roman" w:hAnsi="Times New Roman" w:eastAsia="黑体" w:cs="Times New Roman"/>
                <w:i w:val="0"/>
                <w:iCs w:val="0"/>
                <w:color w:val="000000"/>
                <w:sz w:val="18"/>
                <w:szCs w:val="18"/>
                <w:u w:val="none"/>
              </w:rPr>
            </w:pPr>
          </w:p>
        </w:tc>
        <w:tc>
          <w:tcPr>
            <w:tcW w:w="905" w:type="dxa"/>
            <w:tcBorders>
              <w:top w:val="nil"/>
              <w:left w:val="nil"/>
              <w:bottom w:val="nil"/>
              <w:right w:val="nil"/>
            </w:tcBorders>
            <w:noWrap/>
            <w:vAlign w:val="center"/>
          </w:tcPr>
          <w:p w14:paraId="3223DA3A">
            <w:pPr>
              <w:rPr>
                <w:rFonts w:hint="default" w:ascii="Times New Roman" w:hAnsi="Times New Roman" w:eastAsia="黑体" w:cs="Times New Roman"/>
                <w:i w:val="0"/>
                <w:iCs w:val="0"/>
                <w:color w:val="000000"/>
                <w:sz w:val="18"/>
                <w:szCs w:val="18"/>
                <w:u w:val="none"/>
              </w:rPr>
            </w:pPr>
          </w:p>
        </w:tc>
        <w:tc>
          <w:tcPr>
            <w:tcW w:w="2927" w:type="dxa"/>
            <w:gridSpan w:val="3"/>
            <w:tcBorders>
              <w:top w:val="nil"/>
              <w:left w:val="nil"/>
              <w:bottom w:val="nil"/>
              <w:right w:val="nil"/>
            </w:tcBorders>
            <w:noWrap/>
            <w:vAlign w:val="center"/>
          </w:tcPr>
          <w:p w14:paraId="5637815A">
            <w:pP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填报日期：</w:t>
            </w:r>
          </w:p>
        </w:tc>
      </w:tr>
    </w:tbl>
    <w:p w14:paraId="565E08CF">
      <w:pPr>
        <w:pStyle w:val="6"/>
        <w:rPr>
          <w:rFonts w:hint="default" w:ascii="Times New Roman" w:hAnsi="Times New Roman" w:cs="Times New Roman"/>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B3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qFormat/>
    <w:uiPriority w:val="0"/>
    <w:pPr>
      <w:keepNext/>
      <w:keepLines/>
      <w:ind w:firstLine="200" w:firstLineChars="200"/>
      <w:outlineLvl w:val="2"/>
    </w:pPr>
    <w:rPr>
      <w:rFonts w:ascii="仿宋" w:hAnsi="仿宋" w:cs="宋体"/>
      <w:color w:val="FF0000"/>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rPr>
      <w:rFonts w:eastAsia="仿宋"/>
      <w:sz w:val="32"/>
    </w:rPr>
  </w:style>
  <w:style w:type="paragraph" w:styleId="4">
    <w:name w:val="Body Text Indent"/>
    <w:basedOn w:val="1"/>
    <w:next w:val="3"/>
    <w:semiHidden/>
    <w:qFormat/>
    <w:uiPriority w:val="99"/>
    <w:pPr>
      <w:spacing w:after="120"/>
      <w:ind w:left="420" w:leftChars="200"/>
    </w:pPr>
  </w:style>
  <w:style w:type="paragraph" w:styleId="5">
    <w:name w:val="Plain Text"/>
    <w:basedOn w:val="1"/>
    <w:qFormat/>
    <w:uiPriority w:val="0"/>
    <w:pPr>
      <w:widowControl w:val="0"/>
      <w:adjustRightInd/>
      <w:snapToGrid/>
      <w:spacing w:after="0" w:line="240" w:lineRule="atLeast"/>
      <w:jc w:val="both"/>
    </w:pPr>
    <w:rPr>
      <w:rFonts w:ascii="宋体" w:hAnsi="Courier New" w:eastAsia="宋体"/>
      <w:kern w:val="2"/>
      <w:sz w:val="24"/>
      <w:szCs w:val="20"/>
    </w:rPr>
  </w:style>
  <w:style w:type="paragraph" w:styleId="6">
    <w:name w:val="Body Text First Indent 2"/>
    <w:basedOn w:val="4"/>
    <w:next w:val="1"/>
    <w:qFormat/>
    <w:uiPriority w:val="99"/>
    <w:pPr>
      <w:ind w:firstLine="420" w:firstLineChars="200"/>
    </w:pPr>
    <w:rPr>
      <w:rFonts w:ascii="Calibri" w:hAnsi="Calibri"/>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2026-04-30T09:41:12Z</dcterms:created>
  <dc:creator>Administrator</dc:creator>
  <cp:lastModifiedBy>欧阳</cp:lastModifiedBy>
  <dcterms:modified xsi:type="dcterms:W3CDTF">2026-04-30T09:41:28Z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eyJoZGlkIjoiN2MzYTE3YTZlMmY2NDc1NTkzZWY1MmRjYjAwZDM3MmEiLCJ1c2VySWQiOiI0ODU4MTA3MTkifQ==</vt:lpwstr>
  </property>
  <property fmtid="{D5CDD505-2E9C-101B-9397-08002B2CF9AE}" pid="4" name="ICV">
    <vt:lpwstr>CFADEA293E954DF7B0C3EC4F6B01C24B_12</vt:lpwstr>
  </property>
</Properties>
</file>