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0B6B7">
      <w:pPr>
        <w:tabs>
          <w:tab w:val="center" w:pos="4153"/>
        </w:tabs>
        <w:spacing w:line="560" w:lineRule="exact"/>
        <w:jc w:val="both"/>
        <w:rPr>
          <w:rFonts w:hint="eastAsia" w:ascii="方正小标宋简体" w:hAnsi="方正小标宋简体" w:eastAsia="方正小标宋简体" w:cs="方正小标宋简体"/>
          <w:color w:val="auto"/>
          <w:spacing w:val="-20"/>
          <w:sz w:val="44"/>
          <w:szCs w:val="44"/>
        </w:rPr>
      </w:pPr>
      <w:bookmarkStart w:id="0" w:name="_GoBack"/>
      <w:bookmarkEnd w:id="0"/>
    </w:p>
    <w:p w14:paraId="1B45F43E">
      <w:pPr>
        <w:tabs>
          <w:tab w:val="center" w:pos="4153"/>
        </w:tabs>
        <w:spacing w:line="560" w:lineRule="exact"/>
        <w:jc w:val="center"/>
        <w:rPr>
          <w:rFonts w:hint="eastAsia" w:ascii="方正小标宋简体" w:hAnsi="方正小标宋简体" w:eastAsia="方正小标宋简体" w:cs="方正小标宋简体"/>
          <w:color w:val="auto"/>
          <w:spacing w:val="-20"/>
          <w:sz w:val="44"/>
          <w:szCs w:val="44"/>
        </w:rPr>
      </w:pPr>
      <w:r>
        <w:rPr>
          <w:rFonts w:hint="eastAsia" w:ascii="方正小标宋简体" w:hAnsi="方正小标宋简体" w:eastAsia="方正小标宋简体" w:cs="方正小标宋简体"/>
          <w:color w:val="auto"/>
          <w:spacing w:val="-20"/>
          <w:sz w:val="44"/>
          <w:szCs w:val="44"/>
        </w:rPr>
        <w:t>和布克赛尔县202</w:t>
      </w:r>
      <w:r>
        <w:rPr>
          <w:rFonts w:hint="eastAsia" w:ascii="方正小标宋简体" w:hAnsi="方正小标宋简体" w:eastAsia="方正小标宋简体" w:cs="方正小标宋简体"/>
          <w:color w:val="auto"/>
          <w:spacing w:val="-20"/>
          <w:sz w:val="44"/>
          <w:szCs w:val="44"/>
          <w:lang w:val="en-US" w:eastAsia="zh-CN"/>
        </w:rPr>
        <w:t>6</w:t>
      </w:r>
      <w:r>
        <w:rPr>
          <w:rFonts w:hint="eastAsia" w:ascii="方正小标宋简体" w:hAnsi="方正小标宋简体" w:eastAsia="方正小标宋简体" w:cs="方正小标宋简体"/>
          <w:color w:val="auto"/>
          <w:spacing w:val="-20"/>
          <w:sz w:val="44"/>
          <w:szCs w:val="44"/>
        </w:rPr>
        <w:t>年</w:t>
      </w:r>
      <w:r>
        <w:rPr>
          <w:rFonts w:hint="eastAsia" w:ascii="方正小标宋简体" w:hAnsi="方正小标宋简体" w:eastAsia="方正小标宋简体" w:cs="方正小标宋简体"/>
          <w:color w:val="auto"/>
          <w:spacing w:val="-20"/>
          <w:sz w:val="44"/>
          <w:szCs w:val="44"/>
          <w:lang w:val="en-US" w:eastAsia="zh-CN"/>
        </w:rPr>
        <w:t>一季度</w:t>
      </w:r>
      <w:r>
        <w:rPr>
          <w:rFonts w:hint="eastAsia" w:ascii="方正小标宋简体" w:hAnsi="方正小标宋简体" w:eastAsia="方正小标宋简体" w:cs="方正小标宋简体"/>
          <w:color w:val="auto"/>
          <w:spacing w:val="-20"/>
          <w:sz w:val="44"/>
          <w:szCs w:val="44"/>
        </w:rPr>
        <w:t>主要经济指标</w:t>
      </w:r>
    </w:p>
    <w:p w14:paraId="3F6422E9">
      <w:pPr>
        <w:tabs>
          <w:tab w:val="center" w:pos="4153"/>
        </w:tabs>
        <w:spacing w:line="560" w:lineRule="exact"/>
        <w:jc w:val="center"/>
        <w:rPr>
          <w:rFonts w:hint="eastAsia" w:ascii="方正小标宋简体" w:hAnsi="方正小标宋简体" w:eastAsia="方正小标宋简体" w:cs="方正小标宋简体"/>
          <w:color w:val="auto"/>
          <w:spacing w:val="-20"/>
          <w:sz w:val="44"/>
          <w:szCs w:val="44"/>
          <w:lang w:eastAsia="zh-CN"/>
        </w:rPr>
      </w:pPr>
      <w:r>
        <w:rPr>
          <w:rFonts w:hint="eastAsia" w:ascii="方正小标宋简体" w:hAnsi="方正小标宋简体" w:eastAsia="方正小标宋简体" w:cs="方正小标宋简体"/>
          <w:color w:val="auto"/>
          <w:spacing w:val="-20"/>
          <w:sz w:val="44"/>
          <w:szCs w:val="44"/>
        </w:rPr>
        <w:t>完成情况</w:t>
      </w:r>
      <w:r>
        <w:rPr>
          <w:rFonts w:hint="eastAsia" w:ascii="方正小标宋简体" w:hAnsi="方正小标宋简体" w:eastAsia="方正小标宋简体" w:cs="方正小标宋简体"/>
          <w:color w:val="auto"/>
          <w:spacing w:val="-20"/>
          <w:sz w:val="44"/>
          <w:szCs w:val="44"/>
          <w:lang w:eastAsia="zh-CN"/>
        </w:rPr>
        <w:t>分析</w:t>
      </w:r>
    </w:p>
    <w:p w14:paraId="42AB6ECA">
      <w:pPr>
        <w:keepNext w:val="0"/>
        <w:keepLines w:val="0"/>
        <w:pageBreakBefore w:val="0"/>
        <w:widowControl w:val="0"/>
        <w:tabs>
          <w:tab w:val="center" w:pos="4153"/>
        </w:tabs>
        <w:kinsoku/>
        <w:wordWrap/>
        <w:overflowPunct/>
        <w:topLinePunct w:val="0"/>
        <w:autoSpaceDE/>
        <w:autoSpaceDN/>
        <w:bidi w:val="0"/>
        <w:adjustRightInd/>
        <w:snapToGrid/>
        <w:spacing w:line="400" w:lineRule="exact"/>
        <w:jc w:val="both"/>
        <w:textAlignment w:val="auto"/>
        <w:rPr>
          <w:rFonts w:hint="eastAsia" w:ascii="方正大标宋简体" w:hAnsi="方正大标宋简体" w:eastAsia="方正大标宋简体" w:cs="方正大标宋简体"/>
          <w:color w:val="auto"/>
          <w:spacing w:val="-20"/>
          <w:sz w:val="44"/>
          <w:szCs w:val="44"/>
          <w:lang w:eastAsia="zh-CN"/>
        </w:rPr>
      </w:pPr>
    </w:p>
    <w:p w14:paraId="250538D9">
      <w:pPr>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pacing w:val="0"/>
          <w:sz w:val="32"/>
          <w:szCs w:val="32"/>
          <w:lang w:eastAsia="zh-CN"/>
        </w:rPr>
      </w:pPr>
      <w:r>
        <w:rPr>
          <w:rFonts w:hint="eastAsia" w:ascii="仿宋_GB2312" w:hAnsi="仿宋_GB2312" w:eastAsia="仿宋_GB2312" w:cs="仿宋_GB2312"/>
          <w:color w:val="auto"/>
          <w:spacing w:val="0"/>
          <w:sz w:val="32"/>
          <w:szCs w:val="32"/>
          <w:lang w:eastAsia="zh-CN"/>
        </w:rPr>
        <w:t>2026年一季度，面对复杂多变的外部环境和内部发展压力，和布克赛尔县紧扣高质量发展主题，统筹推进稳增长、调结构、惠民生各项工作，全县地区生产总值增速较快，但分产业、分行业表现差异显著，部分领域承压明显，经济运行韧性与挑战并存。现将一季度经济运行情况分析如下：</w:t>
      </w:r>
    </w:p>
    <w:p w14:paraId="18AB6A77">
      <w:pPr>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pacing w:val="0"/>
          <w:sz w:val="32"/>
          <w:szCs w:val="32"/>
          <w:lang w:eastAsia="zh-CN"/>
        </w:rPr>
      </w:pPr>
      <w:r>
        <w:rPr>
          <w:rFonts w:hint="eastAsia" w:ascii="黑体" w:hAnsi="黑体" w:eastAsia="黑体" w:cs="黑体"/>
          <w:color w:val="auto"/>
          <w:spacing w:val="0"/>
          <w:sz w:val="32"/>
          <w:szCs w:val="32"/>
          <w:lang w:eastAsia="zh-CN"/>
        </w:rPr>
        <w:t>一、总体情况</w:t>
      </w:r>
    </w:p>
    <w:p w14:paraId="792136FE">
      <w:pPr>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pacing w:val="0"/>
          <w:sz w:val="32"/>
          <w:szCs w:val="32"/>
          <w:lang w:val="en-US" w:eastAsia="zh-CN"/>
        </w:rPr>
      </w:pPr>
      <w:r>
        <w:rPr>
          <w:rFonts w:hint="eastAsia" w:ascii="仿宋_GB2312" w:hAnsi="仿宋_GB2312" w:eastAsia="仿宋_GB2312" w:cs="仿宋_GB2312"/>
          <w:color w:val="auto"/>
          <w:spacing w:val="0"/>
          <w:sz w:val="32"/>
          <w:szCs w:val="32"/>
          <w:lang w:eastAsia="zh-CN"/>
        </w:rPr>
        <w:t>经地区统一核算反馈</w:t>
      </w:r>
      <w:r>
        <w:rPr>
          <w:rFonts w:hint="eastAsia" w:ascii="仿宋_GB2312" w:hAnsi="仿宋_GB2312" w:eastAsia="仿宋_GB2312" w:cs="仿宋_GB2312"/>
          <w:color w:val="auto"/>
          <w:spacing w:val="0"/>
          <w:sz w:val="32"/>
          <w:szCs w:val="32"/>
          <w:lang w:val="en-US" w:eastAsia="zh-CN"/>
        </w:rPr>
        <w:t xml:space="preserve"> </w:t>
      </w:r>
      <w:r>
        <w:rPr>
          <w:rFonts w:hint="eastAsia" w:ascii="仿宋_GB2312" w:hAnsi="仿宋_GB2312" w:eastAsia="仿宋_GB2312" w:cs="仿宋_GB2312"/>
          <w:color w:val="auto"/>
          <w:spacing w:val="0"/>
          <w:sz w:val="32"/>
          <w:szCs w:val="32"/>
          <w:lang w:eastAsia="zh-CN"/>
        </w:rPr>
        <w:t>，一季度全县完成地区生产总值</w:t>
      </w:r>
      <w:r>
        <w:rPr>
          <w:rFonts w:hint="eastAsia" w:ascii="仿宋_GB2312" w:hAnsi="仿宋_GB2312" w:eastAsia="仿宋_GB2312" w:cs="仿宋_GB2312"/>
          <w:color w:val="auto"/>
          <w:spacing w:val="0"/>
          <w:sz w:val="32"/>
          <w:szCs w:val="32"/>
          <w:lang w:val="en-US" w:eastAsia="zh-CN"/>
        </w:rPr>
        <w:t>13.77亿元，同比增长7.3%（按不变价计算），位列全地区第二位。其中，第一产业增加值0.81亿元，同比下降1.2%；第二产业增加值7.47亿元，同比增长15.2%；第三产业增加值5.49亿元，同比下降1.2%。三次产业拉动GDP增长分别为-0.07、7.89、-0.5个百分点，三次产业结构为5.8：55.7：38.5，产业结构呈现呈一产薄弱，三产滞后，二产独大的格局，一、三产业支撑不足，结构失衡问题突出。</w:t>
      </w:r>
    </w:p>
    <w:tbl>
      <w:tblPr>
        <w:tblStyle w:val="3"/>
        <w:tblW w:w="0" w:type="auto"/>
        <w:tblInd w:w="0" w:type="dxa"/>
        <w:tblLayout w:type="fixed"/>
        <w:tblCellMar>
          <w:top w:w="0" w:type="dxa"/>
          <w:left w:w="0" w:type="dxa"/>
          <w:bottom w:w="0" w:type="dxa"/>
          <w:right w:w="0" w:type="dxa"/>
        </w:tblCellMar>
      </w:tblPr>
      <w:tblGrid>
        <w:gridCol w:w="1483"/>
        <w:gridCol w:w="1442"/>
        <w:gridCol w:w="1503"/>
        <w:gridCol w:w="1300"/>
        <w:gridCol w:w="1463"/>
        <w:gridCol w:w="1389"/>
      </w:tblGrid>
      <w:tr w14:paraId="1AE5F7A9">
        <w:tblPrEx>
          <w:tblCellMar>
            <w:top w:w="0" w:type="dxa"/>
            <w:left w:w="0" w:type="dxa"/>
            <w:bottom w:w="0" w:type="dxa"/>
            <w:right w:w="0" w:type="dxa"/>
          </w:tblCellMar>
        </w:tblPrEx>
        <w:trPr>
          <w:trHeight w:val="858" w:hRule="atLeast"/>
        </w:trPr>
        <w:tc>
          <w:tcPr>
            <w:tcW w:w="8580" w:type="dxa"/>
            <w:gridSpan w:val="6"/>
            <w:tcBorders>
              <w:top w:val="nil"/>
              <w:left w:val="nil"/>
              <w:bottom w:val="nil"/>
              <w:right w:val="nil"/>
            </w:tcBorders>
            <w:noWrap/>
            <w:tcMar>
              <w:top w:w="15" w:type="dxa"/>
              <w:left w:w="15" w:type="dxa"/>
              <w:right w:w="15" w:type="dxa"/>
            </w:tcMar>
            <w:vAlign w:val="center"/>
          </w:tcPr>
          <w:p w14:paraId="150E942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仿宋_GB2312" w:hAnsi="仿宋_GB2312" w:eastAsia="仿宋_GB2312" w:cs="仿宋_GB2312"/>
                <w:b/>
                <w:bCs w:val="0"/>
                <w:i w:val="0"/>
                <w:color w:val="auto"/>
                <w:kern w:val="0"/>
                <w:sz w:val="32"/>
                <w:szCs w:val="32"/>
                <w:u w:val="none"/>
                <w:lang w:val="en-US" w:eastAsia="zh-CN" w:bidi="ar"/>
              </w:rPr>
              <w:t>一季度全县分产业增加值完成情况</w:t>
            </w:r>
          </w:p>
        </w:tc>
      </w:tr>
      <w:tr w14:paraId="5EFFAC50">
        <w:tblPrEx>
          <w:tblCellMar>
            <w:top w:w="0" w:type="dxa"/>
            <w:left w:w="0" w:type="dxa"/>
            <w:bottom w:w="0" w:type="dxa"/>
            <w:right w:w="0" w:type="dxa"/>
          </w:tblCellMar>
        </w:tblPrEx>
        <w:trPr>
          <w:trHeight w:val="355" w:hRule="atLeast"/>
        </w:trPr>
        <w:tc>
          <w:tcPr>
            <w:tcW w:w="1483" w:type="dxa"/>
            <w:tcBorders>
              <w:top w:val="nil"/>
              <w:left w:val="nil"/>
              <w:bottom w:val="nil"/>
              <w:right w:val="nil"/>
            </w:tcBorders>
            <w:noWrap/>
            <w:tcMar>
              <w:top w:w="15" w:type="dxa"/>
              <w:left w:w="15" w:type="dxa"/>
              <w:right w:w="15" w:type="dxa"/>
            </w:tcMar>
            <w:vAlign w:val="center"/>
          </w:tcPr>
          <w:p w14:paraId="2E1D877B">
            <w:pPr>
              <w:jc w:val="center"/>
              <w:rPr>
                <w:rFonts w:hint="eastAsia" w:ascii="仿宋_GB2312" w:hAnsi="仿宋_GB2312" w:eastAsia="仿宋_GB2312" w:cs="仿宋_GB2312"/>
                <w:i w:val="0"/>
                <w:color w:val="auto"/>
                <w:sz w:val="24"/>
                <w:szCs w:val="24"/>
                <w:u w:val="none"/>
              </w:rPr>
            </w:pPr>
          </w:p>
        </w:tc>
        <w:tc>
          <w:tcPr>
            <w:tcW w:w="1442" w:type="dxa"/>
            <w:tcBorders>
              <w:top w:val="nil"/>
              <w:left w:val="nil"/>
              <w:bottom w:val="nil"/>
              <w:right w:val="nil"/>
            </w:tcBorders>
            <w:noWrap/>
            <w:tcMar>
              <w:top w:w="15" w:type="dxa"/>
              <w:left w:w="15" w:type="dxa"/>
              <w:right w:w="15" w:type="dxa"/>
            </w:tcMar>
            <w:vAlign w:val="center"/>
          </w:tcPr>
          <w:p w14:paraId="7509A42E">
            <w:pPr>
              <w:jc w:val="center"/>
              <w:rPr>
                <w:rFonts w:hint="eastAsia" w:ascii="仿宋_GB2312" w:hAnsi="仿宋_GB2312" w:eastAsia="仿宋_GB2312" w:cs="仿宋_GB2312"/>
                <w:i w:val="0"/>
                <w:color w:val="auto"/>
                <w:sz w:val="24"/>
                <w:szCs w:val="24"/>
                <w:u w:val="none"/>
              </w:rPr>
            </w:pPr>
          </w:p>
        </w:tc>
        <w:tc>
          <w:tcPr>
            <w:tcW w:w="1503" w:type="dxa"/>
            <w:tcBorders>
              <w:top w:val="nil"/>
              <w:left w:val="nil"/>
              <w:bottom w:val="nil"/>
              <w:right w:val="nil"/>
            </w:tcBorders>
            <w:noWrap/>
            <w:tcMar>
              <w:top w:w="15" w:type="dxa"/>
              <w:left w:w="15" w:type="dxa"/>
              <w:right w:w="15" w:type="dxa"/>
            </w:tcMar>
            <w:vAlign w:val="center"/>
          </w:tcPr>
          <w:p w14:paraId="64B286C2">
            <w:pPr>
              <w:jc w:val="center"/>
              <w:rPr>
                <w:rFonts w:hint="eastAsia" w:ascii="仿宋_GB2312" w:hAnsi="仿宋_GB2312" w:eastAsia="仿宋_GB2312" w:cs="仿宋_GB2312"/>
                <w:i w:val="0"/>
                <w:color w:val="auto"/>
                <w:sz w:val="24"/>
                <w:szCs w:val="24"/>
                <w:u w:val="none"/>
              </w:rPr>
            </w:pPr>
          </w:p>
        </w:tc>
        <w:tc>
          <w:tcPr>
            <w:tcW w:w="1300" w:type="dxa"/>
            <w:tcBorders>
              <w:top w:val="nil"/>
              <w:left w:val="nil"/>
              <w:bottom w:val="nil"/>
              <w:right w:val="nil"/>
            </w:tcBorders>
            <w:noWrap/>
            <w:tcMar>
              <w:top w:w="15" w:type="dxa"/>
              <w:left w:w="15" w:type="dxa"/>
              <w:right w:w="15" w:type="dxa"/>
            </w:tcMar>
            <w:vAlign w:val="center"/>
          </w:tcPr>
          <w:p w14:paraId="5A7CF90D">
            <w:pPr>
              <w:jc w:val="center"/>
              <w:rPr>
                <w:rFonts w:hint="eastAsia" w:ascii="仿宋_GB2312" w:hAnsi="仿宋_GB2312" w:eastAsia="仿宋_GB2312" w:cs="仿宋_GB2312"/>
                <w:i w:val="0"/>
                <w:color w:val="auto"/>
                <w:sz w:val="24"/>
                <w:szCs w:val="24"/>
                <w:u w:val="none"/>
              </w:rPr>
            </w:pPr>
          </w:p>
        </w:tc>
        <w:tc>
          <w:tcPr>
            <w:tcW w:w="2852" w:type="dxa"/>
            <w:gridSpan w:val="2"/>
            <w:tcBorders>
              <w:top w:val="nil"/>
              <w:left w:val="nil"/>
              <w:bottom w:val="nil"/>
              <w:right w:val="nil"/>
            </w:tcBorders>
            <w:noWrap/>
            <w:tcMar>
              <w:top w:w="15" w:type="dxa"/>
              <w:left w:w="15" w:type="dxa"/>
              <w:right w:w="15" w:type="dxa"/>
            </w:tcMar>
            <w:vAlign w:val="center"/>
          </w:tcPr>
          <w:p w14:paraId="222FBBAA">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rPr>
            </w:pPr>
            <w:r>
              <w:rPr>
                <w:rFonts w:hint="eastAsia" w:ascii="仿宋_GB2312" w:hAnsi="仿宋_GB2312" w:eastAsia="仿宋_GB2312" w:cs="仿宋_GB2312"/>
                <w:b/>
                <w:bCs/>
                <w:i w:val="0"/>
                <w:color w:val="auto"/>
                <w:kern w:val="0"/>
                <w:sz w:val="24"/>
                <w:szCs w:val="24"/>
                <w:u w:val="none"/>
                <w:lang w:val="en-US" w:eastAsia="zh-CN" w:bidi="ar"/>
              </w:rPr>
              <w:t>单位：亿元、%</w:t>
            </w:r>
          </w:p>
        </w:tc>
      </w:tr>
      <w:tr w14:paraId="020D453B">
        <w:tblPrEx>
          <w:tblCellMar>
            <w:top w:w="0" w:type="dxa"/>
            <w:left w:w="0" w:type="dxa"/>
            <w:bottom w:w="0" w:type="dxa"/>
            <w:right w:w="0" w:type="dxa"/>
          </w:tblCellMar>
        </w:tblPrEx>
        <w:trPr>
          <w:trHeight w:val="382" w:hRule="atLeast"/>
        </w:trPr>
        <w:tc>
          <w:tcPr>
            <w:tcW w:w="148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6F3E20">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项目名称　</w:t>
            </w:r>
          </w:p>
        </w:tc>
        <w:tc>
          <w:tcPr>
            <w:tcW w:w="1442"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55D6CC36">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增加值</w:t>
            </w:r>
          </w:p>
        </w:tc>
        <w:tc>
          <w:tcPr>
            <w:tcW w:w="150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3270580F">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增长率　</w:t>
            </w:r>
          </w:p>
        </w:tc>
        <w:tc>
          <w:tcPr>
            <w:tcW w:w="130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099088F3">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贡献率%</w:t>
            </w:r>
          </w:p>
        </w:tc>
        <w:tc>
          <w:tcPr>
            <w:tcW w:w="1463"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5AC8966B">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拉动点%</w:t>
            </w:r>
          </w:p>
        </w:tc>
        <w:tc>
          <w:tcPr>
            <w:tcW w:w="1389"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2B6F959C">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产业结构</w:t>
            </w:r>
          </w:p>
        </w:tc>
      </w:tr>
      <w:tr w14:paraId="3CDDC72B">
        <w:tblPrEx>
          <w:tblCellMar>
            <w:top w:w="0" w:type="dxa"/>
            <w:left w:w="0" w:type="dxa"/>
            <w:bottom w:w="0" w:type="dxa"/>
            <w:right w:w="0" w:type="dxa"/>
          </w:tblCellMar>
        </w:tblPrEx>
        <w:trPr>
          <w:trHeight w:val="434" w:hRule="atLeast"/>
        </w:trPr>
        <w:tc>
          <w:tcPr>
            <w:tcW w:w="1483"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1252C4CE">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生产总值</w:t>
            </w:r>
          </w:p>
        </w:tc>
        <w:tc>
          <w:tcPr>
            <w:tcW w:w="1442" w:type="dxa"/>
            <w:tcBorders>
              <w:top w:val="nil"/>
              <w:left w:val="nil"/>
              <w:bottom w:val="single" w:color="auto" w:sz="4" w:space="0"/>
              <w:right w:val="single" w:color="auto" w:sz="4" w:space="0"/>
            </w:tcBorders>
            <w:noWrap w:val="0"/>
            <w:tcMar>
              <w:top w:w="15" w:type="dxa"/>
              <w:left w:w="15" w:type="dxa"/>
              <w:right w:w="15" w:type="dxa"/>
            </w:tcMar>
            <w:vAlign w:val="center"/>
          </w:tcPr>
          <w:p w14:paraId="0AAF51D2">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lang w:val="en-US" w:eastAsia="zh-CN"/>
              </w:rPr>
            </w:pPr>
            <w:r>
              <w:rPr>
                <w:rFonts w:hint="eastAsia" w:ascii="仿宋_GB2312" w:hAnsi="仿宋_GB2312" w:eastAsia="仿宋_GB2312" w:cs="仿宋_GB2312"/>
                <w:b/>
                <w:i w:val="0"/>
                <w:color w:val="auto"/>
                <w:sz w:val="24"/>
                <w:szCs w:val="24"/>
                <w:u w:val="none"/>
                <w:lang w:val="en-US" w:eastAsia="zh-CN"/>
              </w:rPr>
              <w:t>13.77</w:t>
            </w:r>
          </w:p>
        </w:tc>
        <w:tc>
          <w:tcPr>
            <w:tcW w:w="1503" w:type="dxa"/>
            <w:tcBorders>
              <w:top w:val="nil"/>
              <w:left w:val="nil"/>
              <w:bottom w:val="single" w:color="auto" w:sz="4" w:space="0"/>
              <w:right w:val="single" w:color="auto" w:sz="4" w:space="0"/>
            </w:tcBorders>
            <w:noWrap w:val="0"/>
            <w:tcMar>
              <w:top w:w="15" w:type="dxa"/>
              <w:left w:w="15" w:type="dxa"/>
              <w:right w:w="15" w:type="dxa"/>
            </w:tcMar>
            <w:vAlign w:val="center"/>
          </w:tcPr>
          <w:p w14:paraId="62755CBD">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lang w:val="en-US" w:eastAsia="zh-CN"/>
              </w:rPr>
            </w:pPr>
            <w:r>
              <w:rPr>
                <w:rFonts w:hint="eastAsia" w:ascii="仿宋_GB2312" w:hAnsi="仿宋_GB2312" w:eastAsia="仿宋_GB2312" w:cs="仿宋_GB2312"/>
                <w:b/>
                <w:i w:val="0"/>
                <w:color w:val="auto"/>
                <w:sz w:val="24"/>
                <w:szCs w:val="24"/>
                <w:u w:val="none"/>
                <w:lang w:val="en-US" w:eastAsia="zh-CN"/>
              </w:rPr>
              <w:t>7.3</w:t>
            </w:r>
          </w:p>
        </w:tc>
        <w:tc>
          <w:tcPr>
            <w:tcW w:w="1300" w:type="dxa"/>
            <w:tcBorders>
              <w:top w:val="nil"/>
              <w:left w:val="nil"/>
              <w:bottom w:val="single" w:color="auto" w:sz="4" w:space="0"/>
              <w:right w:val="single" w:color="auto" w:sz="4" w:space="0"/>
            </w:tcBorders>
            <w:noWrap w:val="0"/>
            <w:tcMar>
              <w:top w:w="15" w:type="dxa"/>
              <w:left w:w="15" w:type="dxa"/>
              <w:right w:w="15" w:type="dxa"/>
            </w:tcMar>
            <w:vAlign w:val="center"/>
          </w:tcPr>
          <w:p w14:paraId="0FA2BC2F">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lang w:val="en-US" w:eastAsia="zh-CN"/>
              </w:rPr>
            </w:pPr>
          </w:p>
        </w:tc>
        <w:tc>
          <w:tcPr>
            <w:tcW w:w="1463" w:type="dxa"/>
            <w:tcBorders>
              <w:top w:val="nil"/>
              <w:left w:val="nil"/>
              <w:bottom w:val="single" w:color="auto" w:sz="4" w:space="0"/>
              <w:right w:val="single" w:color="auto" w:sz="4" w:space="0"/>
            </w:tcBorders>
            <w:noWrap w:val="0"/>
            <w:tcMar>
              <w:top w:w="15" w:type="dxa"/>
              <w:left w:w="15" w:type="dxa"/>
              <w:right w:w="15" w:type="dxa"/>
            </w:tcMar>
            <w:vAlign w:val="center"/>
          </w:tcPr>
          <w:p w14:paraId="61D1A430">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rPr>
            </w:pPr>
          </w:p>
        </w:tc>
        <w:tc>
          <w:tcPr>
            <w:tcW w:w="1389" w:type="dxa"/>
            <w:tcBorders>
              <w:top w:val="nil"/>
              <w:left w:val="nil"/>
              <w:bottom w:val="single" w:color="auto" w:sz="4" w:space="0"/>
              <w:right w:val="single" w:color="auto" w:sz="4" w:space="0"/>
            </w:tcBorders>
            <w:noWrap w:val="0"/>
            <w:tcMar>
              <w:top w:w="15" w:type="dxa"/>
              <w:left w:w="15" w:type="dxa"/>
              <w:right w:w="15" w:type="dxa"/>
            </w:tcMar>
            <w:vAlign w:val="center"/>
          </w:tcPr>
          <w:p w14:paraId="6F2EE880">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lang w:val="en-US" w:eastAsia="zh-CN"/>
              </w:rPr>
            </w:pPr>
          </w:p>
        </w:tc>
      </w:tr>
      <w:tr w14:paraId="5111649B">
        <w:tblPrEx>
          <w:tblCellMar>
            <w:top w:w="0" w:type="dxa"/>
            <w:left w:w="0" w:type="dxa"/>
            <w:bottom w:w="0" w:type="dxa"/>
            <w:right w:w="0" w:type="dxa"/>
          </w:tblCellMar>
        </w:tblPrEx>
        <w:trPr>
          <w:trHeight w:val="355" w:hRule="atLeast"/>
        </w:trPr>
        <w:tc>
          <w:tcPr>
            <w:tcW w:w="1483"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331BA006">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第一产业</w:t>
            </w:r>
          </w:p>
        </w:tc>
        <w:tc>
          <w:tcPr>
            <w:tcW w:w="1442" w:type="dxa"/>
            <w:tcBorders>
              <w:top w:val="nil"/>
              <w:left w:val="nil"/>
              <w:bottom w:val="single" w:color="auto" w:sz="4" w:space="0"/>
              <w:right w:val="single" w:color="auto" w:sz="4" w:space="0"/>
            </w:tcBorders>
            <w:noWrap/>
            <w:tcMar>
              <w:top w:w="15" w:type="dxa"/>
              <w:left w:w="15" w:type="dxa"/>
              <w:right w:w="15" w:type="dxa"/>
            </w:tcMar>
            <w:vAlign w:val="center"/>
          </w:tcPr>
          <w:p w14:paraId="737F7A21">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0.81</w:t>
            </w:r>
          </w:p>
        </w:tc>
        <w:tc>
          <w:tcPr>
            <w:tcW w:w="1503" w:type="dxa"/>
            <w:tcBorders>
              <w:top w:val="nil"/>
              <w:left w:val="nil"/>
              <w:bottom w:val="single" w:color="auto" w:sz="4" w:space="0"/>
              <w:right w:val="single" w:color="auto" w:sz="4" w:space="0"/>
            </w:tcBorders>
            <w:noWrap/>
            <w:tcMar>
              <w:top w:w="15" w:type="dxa"/>
              <w:left w:w="15" w:type="dxa"/>
              <w:right w:w="15" w:type="dxa"/>
            </w:tcMar>
            <w:vAlign w:val="center"/>
          </w:tcPr>
          <w:p w14:paraId="1F110AD5">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-1.2</w:t>
            </w:r>
          </w:p>
        </w:tc>
        <w:tc>
          <w:tcPr>
            <w:tcW w:w="1300" w:type="dxa"/>
            <w:tcBorders>
              <w:top w:val="nil"/>
              <w:left w:val="nil"/>
              <w:bottom w:val="single" w:color="auto" w:sz="4" w:space="0"/>
              <w:right w:val="single" w:color="auto" w:sz="4" w:space="0"/>
            </w:tcBorders>
            <w:noWrap/>
            <w:tcMar>
              <w:top w:w="15" w:type="dxa"/>
              <w:left w:w="15" w:type="dxa"/>
              <w:right w:w="15" w:type="dxa"/>
            </w:tcMar>
            <w:vAlign w:val="center"/>
          </w:tcPr>
          <w:p w14:paraId="4CA556C9">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-1.0</w:t>
            </w:r>
          </w:p>
        </w:tc>
        <w:tc>
          <w:tcPr>
            <w:tcW w:w="1463" w:type="dxa"/>
            <w:tcBorders>
              <w:top w:val="nil"/>
              <w:left w:val="nil"/>
              <w:bottom w:val="single" w:color="auto" w:sz="4" w:space="0"/>
              <w:right w:val="single" w:color="auto" w:sz="4" w:space="0"/>
            </w:tcBorders>
            <w:noWrap/>
            <w:tcMar>
              <w:top w:w="15" w:type="dxa"/>
              <w:left w:w="15" w:type="dxa"/>
              <w:right w:w="15" w:type="dxa"/>
            </w:tcMar>
            <w:vAlign w:val="center"/>
          </w:tcPr>
          <w:p w14:paraId="10F3DDB2">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-0.07</w:t>
            </w:r>
          </w:p>
        </w:tc>
        <w:tc>
          <w:tcPr>
            <w:tcW w:w="1389" w:type="dxa"/>
            <w:tcBorders>
              <w:top w:val="nil"/>
              <w:left w:val="nil"/>
              <w:bottom w:val="single" w:color="auto" w:sz="4" w:space="0"/>
              <w:right w:val="single" w:color="auto" w:sz="4" w:space="0"/>
            </w:tcBorders>
            <w:noWrap/>
            <w:tcMar>
              <w:top w:w="15" w:type="dxa"/>
              <w:left w:w="15" w:type="dxa"/>
              <w:right w:w="15" w:type="dxa"/>
            </w:tcMar>
            <w:vAlign w:val="center"/>
          </w:tcPr>
          <w:p w14:paraId="69C0AC14">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5.8</w:t>
            </w:r>
          </w:p>
        </w:tc>
      </w:tr>
      <w:tr w14:paraId="56FC32FD">
        <w:tblPrEx>
          <w:tblCellMar>
            <w:top w:w="0" w:type="dxa"/>
            <w:left w:w="0" w:type="dxa"/>
            <w:bottom w:w="0" w:type="dxa"/>
            <w:right w:w="0" w:type="dxa"/>
          </w:tblCellMar>
        </w:tblPrEx>
        <w:trPr>
          <w:trHeight w:val="355" w:hRule="atLeast"/>
        </w:trPr>
        <w:tc>
          <w:tcPr>
            <w:tcW w:w="1483"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4F265805">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第二产业</w:t>
            </w:r>
          </w:p>
        </w:tc>
        <w:tc>
          <w:tcPr>
            <w:tcW w:w="1442" w:type="dxa"/>
            <w:tcBorders>
              <w:top w:val="nil"/>
              <w:left w:val="nil"/>
              <w:bottom w:val="single" w:color="auto" w:sz="4" w:space="0"/>
              <w:right w:val="single" w:color="auto" w:sz="4" w:space="0"/>
            </w:tcBorders>
            <w:noWrap/>
            <w:tcMar>
              <w:top w:w="15" w:type="dxa"/>
              <w:left w:w="15" w:type="dxa"/>
              <w:right w:w="15" w:type="dxa"/>
            </w:tcMar>
            <w:vAlign w:val="center"/>
          </w:tcPr>
          <w:p w14:paraId="063337C8">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7.47</w:t>
            </w:r>
          </w:p>
        </w:tc>
        <w:tc>
          <w:tcPr>
            <w:tcW w:w="1503" w:type="dxa"/>
            <w:tcBorders>
              <w:top w:val="nil"/>
              <w:left w:val="nil"/>
              <w:bottom w:val="single" w:color="auto" w:sz="4" w:space="0"/>
              <w:right w:val="single" w:color="auto" w:sz="4" w:space="0"/>
            </w:tcBorders>
            <w:noWrap/>
            <w:tcMar>
              <w:top w:w="15" w:type="dxa"/>
              <w:left w:w="15" w:type="dxa"/>
              <w:right w:w="15" w:type="dxa"/>
            </w:tcMar>
            <w:vAlign w:val="center"/>
          </w:tcPr>
          <w:p w14:paraId="72D29CF2">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15.2</w:t>
            </w:r>
          </w:p>
        </w:tc>
        <w:tc>
          <w:tcPr>
            <w:tcW w:w="1300" w:type="dxa"/>
            <w:tcBorders>
              <w:top w:val="nil"/>
              <w:left w:val="nil"/>
              <w:bottom w:val="single" w:color="auto" w:sz="4" w:space="0"/>
              <w:right w:val="single" w:color="auto" w:sz="4" w:space="0"/>
            </w:tcBorders>
            <w:noWrap/>
            <w:tcMar>
              <w:top w:w="15" w:type="dxa"/>
              <w:left w:w="15" w:type="dxa"/>
              <w:right w:w="15" w:type="dxa"/>
            </w:tcMar>
            <w:vAlign w:val="center"/>
          </w:tcPr>
          <w:p w14:paraId="7BFBE248">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107.8</w:t>
            </w:r>
          </w:p>
        </w:tc>
        <w:tc>
          <w:tcPr>
            <w:tcW w:w="1463" w:type="dxa"/>
            <w:tcBorders>
              <w:top w:val="nil"/>
              <w:left w:val="nil"/>
              <w:bottom w:val="single" w:color="auto" w:sz="4" w:space="0"/>
              <w:right w:val="single" w:color="auto" w:sz="4" w:space="0"/>
            </w:tcBorders>
            <w:noWrap/>
            <w:tcMar>
              <w:top w:w="15" w:type="dxa"/>
              <w:left w:w="15" w:type="dxa"/>
              <w:right w:w="15" w:type="dxa"/>
            </w:tcMar>
            <w:vAlign w:val="center"/>
          </w:tcPr>
          <w:p w14:paraId="3BE79D94">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7.89</w:t>
            </w:r>
          </w:p>
        </w:tc>
        <w:tc>
          <w:tcPr>
            <w:tcW w:w="1389" w:type="dxa"/>
            <w:tcBorders>
              <w:top w:val="nil"/>
              <w:left w:val="nil"/>
              <w:bottom w:val="single" w:color="auto" w:sz="4" w:space="0"/>
              <w:right w:val="single" w:color="auto" w:sz="4" w:space="0"/>
            </w:tcBorders>
            <w:noWrap/>
            <w:tcMar>
              <w:top w:w="15" w:type="dxa"/>
              <w:left w:w="15" w:type="dxa"/>
              <w:right w:w="15" w:type="dxa"/>
            </w:tcMar>
            <w:vAlign w:val="center"/>
          </w:tcPr>
          <w:p w14:paraId="5C7A4C3B">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55.7</w:t>
            </w:r>
          </w:p>
        </w:tc>
      </w:tr>
      <w:tr w14:paraId="320FA373">
        <w:tblPrEx>
          <w:tblCellMar>
            <w:top w:w="0" w:type="dxa"/>
            <w:left w:w="0" w:type="dxa"/>
            <w:bottom w:w="0" w:type="dxa"/>
            <w:right w:w="0" w:type="dxa"/>
          </w:tblCellMar>
        </w:tblPrEx>
        <w:trPr>
          <w:trHeight w:val="415" w:hRule="atLeast"/>
        </w:trPr>
        <w:tc>
          <w:tcPr>
            <w:tcW w:w="1483"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0F2B2096">
            <w:pPr>
              <w:keepNext w:val="0"/>
              <w:keepLines w:val="0"/>
              <w:widowControl/>
              <w:suppressLineNumbers w:val="0"/>
              <w:jc w:val="center"/>
              <w:textAlignment w:val="center"/>
              <w:rPr>
                <w:rFonts w:hint="eastAsia" w:ascii="仿宋_GB2312" w:hAnsi="仿宋_GB2312" w:eastAsia="仿宋_GB2312" w:cs="仿宋_GB2312"/>
                <w:b/>
                <w:i w:val="0"/>
                <w:color w:val="auto"/>
                <w:sz w:val="24"/>
                <w:szCs w:val="24"/>
                <w:u w:val="none"/>
              </w:rPr>
            </w:pPr>
            <w:r>
              <w:rPr>
                <w:rFonts w:hint="eastAsia" w:ascii="仿宋_GB2312" w:hAnsi="仿宋_GB2312" w:eastAsia="仿宋_GB2312" w:cs="仿宋_GB2312"/>
                <w:b/>
                <w:i w:val="0"/>
                <w:color w:val="auto"/>
                <w:kern w:val="0"/>
                <w:sz w:val="24"/>
                <w:szCs w:val="24"/>
                <w:u w:val="none"/>
                <w:lang w:val="en-US" w:eastAsia="zh-CN" w:bidi="ar"/>
              </w:rPr>
              <w:t>第三产业</w:t>
            </w:r>
          </w:p>
        </w:tc>
        <w:tc>
          <w:tcPr>
            <w:tcW w:w="1442" w:type="dxa"/>
            <w:tcBorders>
              <w:top w:val="nil"/>
              <w:left w:val="nil"/>
              <w:bottom w:val="single" w:color="auto" w:sz="4" w:space="0"/>
              <w:right w:val="single" w:color="auto" w:sz="4" w:space="0"/>
            </w:tcBorders>
            <w:noWrap/>
            <w:tcMar>
              <w:top w:w="15" w:type="dxa"/>
              <w:left w:w="15" w:type="dxa"/>
              <w:right w:w="15" w:type="dxa"/>
            </w:tcMar>
            <w:vAlign w:val="center"/>
          </w:tcPr>
          <w:p w14:paraId="32F1216E">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5.49</w:t>
            </w:r>
          </w:p>
        </w:tc>
        <w:tc>
          <w:tcPr>
            <w:tcW w:w="1503" w:type="dxa"/>
            <w:tcBorders>
              <w:top w:val="nil"/>
              <w:left w:val="nil"/>
              <w:bottom w:val="single" w:color="auto" w:sz="4" w:space="0"/>
              <w:right w:val="single" w:color="auto" w:sz="4" w:space="0"/>
            </w:tcBorders>
            <w:noWrap/>
            <w:tcMar>
              <w:top w:w="15" w:type="dxa"/>
              <w:left w:w="15" w:type="dxa"/>
              <w:right w:w="15" w:type="dxa"/>
            </w:tcMar>
            <w:vAlign w:val="center"/>
          </w:tcPr>
          <w:p w14:paraId="505C6DB6">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-1.2</w:t>
            </w:r>
          </w:p>
        </w:tc>
        <w:tc>
          <w:tcPr>
            <w:tcW w:w="1300" w:type="dxa"/>
            <w:tcBorders>
              <w:top w:val="nil"/>
              <w:left w:val="nil"/>
              <w:bottom w:val="single" w:color="auto" w:sz="4" w:space="0"/>
              <w:right w:val="single" w:color="auto" w:sz="4" w:space="0"/>
            </w:tcBorders>
            <w:noWrap/>
            <w:tcMar>
              <w:top w:w="15" w:type="dxa"/>
              <w:left w:w="15" w:type="dxa"/>
              <w:right w:w="15" w:type="dxa"/>
            </w:tcMar>
            <w:vAlign w:val="center"/>
          </w:tcPr>
          <w:p w14:paraId="5B09D600">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-6.8</w:t>
            </w:r>
          </w:p>
        </w:tc>
        <w:tc>
          <w:tcPr>
            <w:tcW w:w="1463" w:type="dxa"/>
            <w:tcBorders>
              <w:top w:val="nil"/>
              <w:left w:val="nil"/>
              <w:bottom w:val="single" w:color="auto" w:sz="4" w:space="0"/>
              <w:right w:val="single" w:color="auto" w:sz="4" w:space="0"/>
            </w:tcBorders>
            <w:noWrap/>
            <w:tcMar>
              <w:top w:w="15" w:type="dxa"/>
              <w:left w:w="15" w:type="dxa"/>
              <w:right w:w="15" w:type="dxa"/>
            </w:tcMar>
            <w:vAlign w:val="center"/>
          </w:tcPr>
          <w:p w14:paraId="1B9A8FB1">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-0.5</w:t>
            </w:r>
          </w:p>
        </w:tc>
        <w:tc>
          <w:tcPr>
            <w:tcW w:w="1389" w:type="dxa"/>
            <w:tcBorders>
              <w:top w:val="nil"/>
              <w:left w:val="nil"/>
              <w:bottom w:val="single" w:color="auto" w:sz="4" w:space="0"/>
              <w:right w:val="single" w:color="auto" w:sz="4" w:space="0"/>
            </w:tcBorders>
            <w:noWrap/>
            <w:tcMar>
              <w:top w:w="15" w:type="dxa"/>
              <w:left w:w="15" w:type="dxa"/>
              <w:right w:w="15" w:type="dxa"/>
            </w:tcMar>
            <w:vAlign w:val="center"/>
          </w:tcPr>
          <w:p w14:paraId="176DA659">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38.5</w:t>
            </w:r>
          </w:p>
        </w:tc>
      </w:tr>
    </w:tbl>
    <w:p w14:paraId="091E1F4B">
      <w:pPr>
        <w:ind w:firstLine="2249" w:firstLineChars="7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一季度生产总值分行业完成情况</w:t>
      </w:r>
    </w:p>
    <w:tbl>
      <w:tblPr>
        <w:tblStyle w:val="3"/>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36"/>
        <w:gridCol w:w="1200"/>
        <w:gridCol w:w="927"/>
        <w:gridCol w:w="681"/>
        <w:gridCol w:w="936"/>
        <w:gridCol w:w="829"/>
      </w:tblGrid>
      <w:tr w14:paraId="1EF8A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3636" w:type="dxa"/>
            <w:tcBorders>
              <w:top w:val="single" w:color="000000" w:sz="4" w:space="0"/>
              <w:left w:val="single" w:color="000000" w:sz="4" w:space="0"/>
              <w:bottom w:val="single" w:color="000000" w:sz="4" w:space="0"/>
              <w:right w:val="single" w:color="000000" w:sz="4" w:space="0"/>
            </w:tcBorders>
            <w:noWrap w:val="0"/>
            <w:vAlign w:val="center"/>
          </w:tcPr>
          <w:p w14:paraId="2D99AEA5">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名称</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14:paraId="05378E9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现价绝对值（万元）</w:t>
            </w:r>
          </w:p>
        </w:tc>
        <w:tc>
          <w:tcPr>
            <w:tcW w:w="927" w:type="dxa"/>
            <w:tcBorders>
              <w:top w:val="single" w:color="000000" w:sz="4" w:space="0"/>
              <w:left w:val="single" w:color="000000" w:sz="4" w:space="0"/>
              <w:bottom w:val="single" w:color="000000" w:sz="4" w:space="0"/>
              <w:right w:val="single" w:color="000000" w:sz="4" w:space="0"/>
            </w:tcBorders>
            <w:noWrap w:val="0"/>
            <w:vAlign w:val="center"/>
          </w:tcPr>
          <w:p w14:paraId="5F2CAC8E">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增速%</w:t>
            </w:r>
          </w:p>
        </w:tc>
        <w:tc>
          <w:tcPr>
            <w:tcW w:w="681" w:type="dxa"/>
            <w:tcBorders>
              <w:top w:val="single" w:color="000000" w:sz="4" w:space="0"/>
              <w:left w:val="single" w:color="000000" w:sz="4" w:space="0"/>
              <w:bottom w:val="single" w:color="000000" w:sz="4" w:space="0"/>
              <w:right w:val="single" w:color="000000" w:sz="4" w:space="0"/>
            </w:tcBorders>
            <w:noWrap w:val="0"/>
            <w:vAlign w:val="center"/>
          </w:tcPr>
          <w:p w14:paraId="6A5B9F9A">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占比%</w:t>
            </w:r>
          </w:p>
        </w:tc>
        <w:tc>
          <w:tcPr>
            <w:tcW w:w="936" w:type="dxa"/>
            <w:tcBorders>
              <w:top w:val="single" w:color="000000" w:sz="4" w:space="0"/>
              <w:left w:val="single" w:color="000000" w:sz="4" w:space="0"/>
              <w:bottom w:val="single" w:color="000000" w:sz="4" w:space="0"/>
              <w:right w:val="single" w:color="000000" w:sz="4" w:space="0"/>
            </w:tcBorders>
            <w:noWrap w:val="0"/>
            <w:vAlign w:val="center"/>
          </w:tcPr>
          <w:p w14:paraId="0B8797E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贡献率%</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14:paraId="4C4F29C4">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拉动点</w:t>
            </w:r>
          </w:p>
        </w:tc>
      </w:tr>
      <w:tr w14:paraId="4FD68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80642">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4"/>
                <w:szCs w:val="24"/>
                <w:u w:val="none"/>
              </w:rPr>
            </w:pPr>
            <w:r>
              <w:rPr>
                <w:rFonts w:hint="eastAsia" w:ascii="仿宋_GB2312" w:hAnsi="仿宋_GB2312" w:eastAsia="仿宋_GB2312" w:cs="仿宋_GB2312"/>
                <w:b/>
                <w:bCs/>
                <w:i w:val="0"/>
                <w:iCs w:val="0"/>
                <w:color w:val="auto"/>
                <w:kern w:val="0"/>
                <w:sz w:val="24"/>
                <w:szCs w:val="24"/>
                <w:u w:val="none"/>
                <w:lang w:val="en-US" w:eastAsia="zh-CN" w:bidi="ar"/>
              </w:rPr>
              <w:t>地区生产总值</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F10004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141113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266A69D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7.3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4321C8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100</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DDEE7D8">
            <w:pPr>
              <w:jc w:val="center"/>
              <w:rPr>
                <w:rFonts w:hint="eastAsia" w:ascii="仿宋_GB2312" w:hAnsi="仿宋_GB2312" w:eastAsia="仿宋_GB2312" w:cs="仿宋_GB2312"/>
                <w:i w:val="0"/>
                <w:iCs w:val="0"/>
                <w:color w:val="000000"/>
                <w:sz w:val="24"/>
                <w:szCs w:val="24"/>
                <w:u w:val="none"/>
              </w:rPr>
            </w:pP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4FA98E60">
            <w:pPr>
              <w:jc w:val="center"/>
              <w:rPr>
                <w:rFonts w:hint="eastAsia" w:ascii="仿宋_GB2312" w:hAnsi="仿宋_GB2312" w:eastAsia="仿宋_GB2312" w:cs="仿宋_GB2312"/>
                <w:i w:val="0"/>
                <w:iCs w:val="0"/>
                <w:color w:val="000000"/>
                <w:sz w:val="24"/>
                <w:szCs w:val="24"/>
                <w:u w:val="none"/>
              </w:rPr>
            </w:pPr>
          </w:p>
        </w:tc>
      </w:tr>
      <w:tr w14:paraId="3FF76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1DB0CD19">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按行业分</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518EC71">
            <w:pPr>
              <w:jc w:val="center"/>
              <w:rPr>
                <w:rFonts w:hint="eastAsia" w:ascii="仿宋_GB2312" w:hAnsi="仿宋_GB2312" w:eastAsia="仿宋_GB2312" w:cs="仿宋_GB2312"/>
                <w:i w:val="0"/>
                <w:iCs w:val="0"/>
                <w:color w:val="000000"/>
                <w:sz w:val="24"/>
                <w:szCs w:val="24"/>
                <w:u w:val="none"/>
              </w:rPr>
            </w:pP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23D44219">
            <w:pPr>
              <w:jc w:val="center"/>
              <w:rPr>
                <w:rFonts w:hint="eastAsia" w:ascii="仿宋_GB2312" w:hAnsi="仿宋_GB2312" w:eastAsia="仿宋_GB2312" w:cs="仿宋_GB2312"/>
                <w:i w:val="0"/>
                <w:iCs w:val="0"/>
                <w:color w:val="000000"/>
                <w:sz w:val="24"/>
                <w:szCs w:val="24"/>
                <w:u w:val="none"/>
              </w:rPr>
            </w:pP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474D037A">
            <w:pPr>
              <w:jc w:val="center"/>
              <w:rPr>
                <w:rFonts w:hint="eastAsia" w:ascii="仿宋_GB2312" w:hAnsi="仿宋_GB2312" w:eastAsia="仿宋_GB2312" w:cs="仿宋_GB2312"/>
                <w:i w:val="0"/>
                <w:iCs w:val="0"/>
                <w:color w:val="000000"/>
                <w:sz w:val="24"/>
                <w:szCs w:val="24"/>
                <w:u w:val="none"/>
              </w:rPr>
            </w:pP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26D88723">
            <w:pPr>
              <w:jc w:val="center"/>
              <w:rPr>
                <w:rFonts w:hint="eastAsia" w:ascii="仿宋_GB2312" w:hAnsi="仿宋_GB2312" w:eastAsia="仿宋_GB2312" w:cs="仿宋_GB2312"/>
                <w:i w:val="0"/>
                <w:iCs w:val="0"/>
                <w:color w:val="000000"/>
                <w:sz w:val="24"/>
                <w:szCs w:val="24"/>
                <w:u w:val="none"/>
              </w:rPr>
            </w:pP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31C403CB">
            <w:pPr>
              <w:jc w:val="center"/>
              <w:rPr>
                <w:rFonts w:hint="eastAsia" w:ascii="仿宋_GB2312" w:hAnsi="仿宋_GB2312" w:eastAsia="仿宋_GB2312" w:cs="仿宋_GB2312"/>
                <w:i w:val="0"/>
                <w:iCs w:val="0"/>
                <w:color w:val="000000"/>
                <w:sz w:val="24"/>
                <w:szCs w:val="24"/>
                <w:u w:val="none"/>
              </w:rPr>
            </w:pPr>
          </w:p>
        </w:tc>
      </w:tr>
      <w:tr w14:paraId="31DF4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7E9870D4">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一、农林牧渔业</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2639EE2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8293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45FFEB5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-1.1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5C1E5D5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5.9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48DBD0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-0.92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6881CE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-0.07 </w:t>
            </w:r>
          </w:p>
        </w:tc>
      </w:tr>
      <w:tr w14:paraId="50F27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0ADB7FBA">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二、工业</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0643DCA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74478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272F052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17.3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142A07B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51.3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6F75AD6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113.96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06BF9CD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8.34 </w:t>
            </w:r>
          </w:p>
        </w:tc>
      </w:tr>
      <w:tr w14:paraId="0405A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0A98C80C">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 xml:space="preserve">     其中：采矿</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3F0AFBE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31675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6C871644">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8.4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4EC5ACC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20.7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BDBE74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25.51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10B86C5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1.87 </w:t>
            </w:r>
          </w:p>
        </w:tc>
      </w:tr>
      <w:tr w14:paraId="32189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15C2DC16">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 xml:space="preserve">          制造</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11807305">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3162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5736FE0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45.6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6C193CC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2.3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2B4086A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10.29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44CE17F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0.75 </w:t>
            </w:r>
          </w:p>
        </w:tc>
      </w:tr>
      <w:tr w14:paraId="56053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27702B66">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 xml:space="preserve">          电力、热力及水的生产和供应业</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F3E027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39642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16D70A2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23.4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25F923F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28.3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7DCA5C1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78.15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19E7863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5.72 </w:t>
            </w:r>
          </w:p>
        </w:tc>
      </w:tr>
      <w:tr w14:paraId="68ECB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6F1A87DE">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三、建筑业</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E93DCB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4513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56073EA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-10.5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6FA1697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3.2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37FC6B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-5.52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60713C0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-0.40 </w:t>
            </w:r>
          </w:p>
        </w:tc>
      </w:tr>
      <w:tr w14:paraId="0C9FA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6EA29D3C">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四、批发和零售业</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6186E0F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2009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4D1F06B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19.6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59D92072">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1.5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16C9C11B">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3.43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3336C34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0.25 </w:t>
            </w:r>
          </w:p>
        </w:tc>
      </w:tr>
      <w:tr w14:paraId="472C8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0EADF3BF">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五、交通运输、仓储和邮政业</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41BBF9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3574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7C8A0D0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-4.4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19705A7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2.6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27C9C9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-1.70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0573B77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-0.12 </w:t>
            </w:r>
          </w:p>
        </w:tc>
      </w:tr>
      <w:tr w14:paraId="2492E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2BA37EDD">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六、住宿和餐饮</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5149526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61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51B69A2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0.2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7E8DBF6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0.0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0CF066D1">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0.00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60CCF3B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0.00 </w:t>
            </w:r>
          </w:p>
        </w:tc>
      </w:tr>
      <w:tr w14:paraId="61FF7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7E42D028">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七、金融业</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A304F3E">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3221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4898E0C7">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2.0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71BB4A0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2.4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5E9423D9">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0.65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0D55DC9C">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0.05 </w:t>
            </w:r>
          </w:p>
        </w:tc>
      </w:tr>
      <w:tr w14:paraId="238C7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658D825E">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八、房地产业</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7DB8F1A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7488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5A1C8A18">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3.0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5CD4C79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5.4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4A605473">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2.27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10CE80E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0.17 </w:t>
            </w:r>
          </w:p>
        </w:tc>
      </w:tr>
      <w:tr w14:paraId="2C674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3636" w:type="dxa"/>
            <w:tcBorders>
              <w:top w:val="single" w:color="000000" w:sz="4" w:space="0"/>
              <w:left w:val="single" w:color="000000" w:sz="4" w:space="0"/>
              <w:bottom w:val="single" w:color="000000" w:sz="4" w:space="0"/>
              <w:right w:val="single" w:color="000000" w:sz="4" w:space="0"/>
            </w:tcBorders>
            <w:noWrap/>
            <w:vAlign w:val="center"/>
          </w:tcPr>
          <w:p w14:paraId="22AA27EA">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九、其他服务业</w:t>
            </w:r>
          </w:p>
        </w:tc>
        <w:tc>
          <w:tcPr>
            <w:tcW w:w="1200" w:type="dxa"/>
            <w:tcBorders>
              <w:top w:val="single" w:color="000000" w:sz="4" w:space="0"/>
              <w:left w:val="single" w:color="000000" w:sz="4" w:space="0"/>
              <w:bottom w:val="single" w:color="000000" w:sz="4" w:space="0"/>
              <w:right w:val="single" w:color="000000" w:sz="4" w:space="0"/>
            </w:tcBorders>
            <w:noWrap/>
            <w:vAlign w:val="center"/>
          </w:tcPr>
          <w:p w14:paraId="4EFAA07A">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37476 </w:t>
            </w:r>
          </w:p>
        </w:tc>
        <w:tc>
          <w:tcPr>
            <w:tcW w:w="927" w:type="dxa"/>
            <w:tcBorders>
              <w:top w:val="single" w:color="000000" w:sz="4" w:space="0"/>
              <w:left w:val="single" w:color="000000" w:sz="4" w:space="0"/>
              <w:bottom w:val="single" w:color="000000" w:sz="4" w:space="0"/>
              <w:right w:val="single" w:color="000000" w:sz="4" w:space="0"/>
            </w:tcBorders>
            <w:noWrap/>
            <w:vAlign w:val="center"/>
          </w:tcPr>
          <w:p w14:paraId="1864611D">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-3.0 </w:t>
            </w:r>
          </w:p>
        </w:tc>
        <w:tc>
          <w:tcPr>
            <w:tcW w:w="681" w:type="dxa"/>
            <w:tcBorders>
              <w:top w:val="single" w:color="000000" w:sz="4" w:space="0"/>
              <w:left w:val="single" w:color="000000" w:sz="4" w:space="0"/>
              <w:bottom w:val="single" w:color="000000" w:sz="4" w:space="0"/>
              <w:right w:val="single" w:color="000000" w:sz="4" w:space="0"/>
            </w:tcBorders>
            <w:noWrap/>
            <w:vAlign w:val="center"/>
          </w:tcPr>
          <w:p w14:paraId="1278C62F">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27.7 </w:t>
            </w:r>
          </w:p>
        </w:tc>
        <w:tc>
          <w:tcPr>
            <w:tcW w:w="936" w:type="dxa"/>
            <w:tcBorders>
              <w:top w:val="single" w:color="000000" w:sz="4" w:space="0"/>
              <w:left w:val="single" w:color="000000" w:sz="4" w:space="0"/>
              <w:bottom w:val="single" w:color="000000" w:sz="4" w:space="0"/>
              <w:right w:val="single" w:color="000000" w:sz="4" w:space="0"/>
            </w:tcBorders>
            <w:noWrap/>
            <w:vAlign w:val="center"/>
          </w:tcPr>
          <w:p w14:paraId="37AE0F30">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-12.16 </w:t>
            </w:r>
          </w:p>
        </w:tc>
        <w:tc>
          <w:tcPr>
            <w:tcW w:w="829" w:type="dxa"/>
            <w:tcBorders>
              <w:top w:val="single" w:color="000000" w:sz="4" w:space="0"/>
              <w:left w:val="single" w:color="000000" w:sz="4" w:space="0"/>
              <w:bottom w:val="single" w:color="000000" w:sz="4" w:space="0"/>
              <w:right w:val="single" w:color="000000" w:sz="4" w:space="0"/>
            </w:tcBorders>
            <w:noWrap/>
            <w:vAlign w:val="center"/>
          </w:tcPr>
          <w:p w14:paraId="3F1C8C76">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 xml:space="preserve">-0.89 </w:t>
            </w:r>
          </w:p>
        </w:tc>
      </w:tr>
    </w:tbl>
    <w:tbl>
      <w:tblPr>
        <w:tblStyle w:val="4"/>
        <w:tblpPr w:leftFromText="180" w:rightFromText="180" w:vertAnchor="text" w:horzAnchor="page" w:tblpX="1865" w:tblpY="7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3"/>
        <w:gridCol w:w="1628"/>
        <w:gridCol w:w="1628"/>
        <w:gridCol w:w="1628"/>
        <w:gridCol w:w="1432"/>
      </w:tblGrid>
      <w:tr w14:paraId="55E5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2063" w:type="dxa"/>
            <w:tcBorders>
              <w:left w:val="nil"/>
            </w:tcBorders>
            <w:noWrap w:val="0"/>
            <w:vAlign w:val="top"/>
          </w:tcPr>
          <w:p w14:paraId="54CFE627">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指标名称</w:t>
            </w:r>
          </w:p>
        </w:tc>
        <w:tc>
          <w:tcPr>
            <w:tcW w:w="1628" w:type="dxa"/>
            <w:noWrap w:val="0"/>
            <w:vAlign w:val="top"/>
          </w:tcPr>
          <w:p w14:paraId="34CFA55A">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本期现价</w:t>
            </w:r>
          </w:p>
          <w:p w14:paraId="6D4CFFEC">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（万元）</w:t>
            </w:r>
          </w:p>
        </w:tc>
        <w:tc>
          <w:tcPr>
            <w:tcW w:w="1628" w:type="dxa"/>
            <w:noWrap w:val="0"/>
            <w:vAlign w:val="top"/>
          </w:tcPr>
          <w:p w14:paraId="6E51C715">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本期可比价</w:t>
            </w:r>
          </w:p>
          <w:p w14:paraId="1B999850">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（万元）</w:t>
            </w:r>
          </w:p>
        </w:tc>
        <w:tc>
          <w:tcPr>
            <w:tcW w:w="1628" w:type="dxa"/>
            <w:noWrap w:val="0"/>
            <w:vAlign w:val="top"/>
          </w:tcPr>
          <w:p w14:paraId="516D1226">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上年现价</w:t>
            </w:r>
          </w:p>
          <w:p w14:paraId="25B28A08">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（万元）</w:t>
            </w:r>
          </w:p>
        </w:tc>
        <w:tc>
          <w:tcPr>
            <w:tcW w:w="1432" w:type="dxa"/>
            <w:tcBorders>
              <w:right w:val="nil"/>
            </w:tcBorders>
            <w:noWrap w:val="0"/>
            <w:vAlign w:val="top"/>
          </w:tcPr>
          <w:p w14:paraId="0D027BA5">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增速</w:t>
            </w:r>
          </w:p>
          <w:p w14:paraId="5A396527">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14:paraId="6D2F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063" w:type="dxa"/>
            <w:tcBorders>
              <w:left w:val="nil"/>
            </w:tcBorders>
            <w:noWrap w:val="0"/>
            <w:vAlign w:val="top"/>
          </w:tcPr>
          <w:p w14:paraId="3BC869D3">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农林牧渔总产值</w:t>
            </w:r>
          </w:p>
        </w:tc>
        <w:tc>
          <w:tcPr>
            <w:tcW w:w="1628" w:type="dxa"/>
            <w:noWrap w:val="0"/>
            <w:vAlign w:val="top"/>
          </w:tcPr>
          <w:p w14:paraId="32CD0626">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8648.10</w:t>
            </w:r>
          </w:p>
        </w:tc>
        <w:tc>
          <w:tcPr>
            <w:tcW w:w="1628" w:type="dxa"/>
            <w:noWrap w:val="0"/>
            <w:vAlign w:val="top"/>
          </w:tcPr>
          <w:p w14:paraId="58F1D758">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8957.51</w:t>
            </w:r>
          </w:p>
        </w:tc>
        <w:tc>
          <w:tcPr>
            <w:tcW w:w="1628" w:type="dxa"/>
            <w:noWrap w:val="0"/>
            <w:vAlign w:val="top"/>
          </w:tcPr>
          <w:p w14:paraId="2CFDA88C">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9072.90</w:t>
            </w:r>
          </w:p>
        </w:tc>
        <w:tc>
          <w:tcPr>
            <w:tcW w:w="1432" w:type="dxa"/>
            <w:tcBorders>
              <w:right w:val="nil"/>
            </w:tcBorders>
            <w:noWrap w:val="0"/>
            <w:vAlign w:val="top"/>
          </w:tcPr>
          <w:p w14:paraId="47E6F896">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w:t>
            </w:r>
          </w:p>
        </w:tc>
      </w:tr>
      <w:tr w14:paraId="4033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063" w:type="dxa"/>
            <w:tcBorders>
              <w:left w:val="nil"/>
            </w:tcBorders>
            <w:noWrap w:val="0"/>
            <w:vAlign w:val="top"/>
          </w:tcPr>
          <w:p w14:paraId="49BBF46D">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农业</w:t>
            </w:r>
          </w:p>
        </w:tc>
        <w:tc>
          <w:tcPr>
            <w:tcW w:w="1628" w:type="dxa"/>
            <w:noWrap w:val="0"/>
            <w:vAlign w:val="top"/>
          </w:tcPr>
          <w:p w14:paraId="5283D638">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8.10</w:t>
            </w:r>
          </w:p>
        </w:tc>
        <w:tc>
          <w:tcPr>
            <w:tcW w:w="1628" w:type="dxa"/>
            <w:noWrap w:val="0"/>
            <w:vAlign w:val="top"/>
          </w:tcPr>
          <w:p w14:paraId="581625C5">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8.10</w:t>
            </w:r>
          </w:p>
        </w:tc>
        <w:tc>
          <w:tcPr>
            <w:tcW w:w="1628" w:type="dxa"/>
            <w:noWrap w:val="0"/>
            <w:vAlign w:val="top"/>
          </w:tcPr>
          <w:p w14:paraId="4C01C5BE">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1432" w:type="dxa"/>
            <w:tcBorders>
              <w:right w:val="nil"/>
            </w:tcBorders>
            <w:noWrap w:val="0"/>
            <w:vAlign w:val="top"/>
          </w:tcPr>
          <w:p w14:paraId="644B5728">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r>
      <w:tr w14:paraId="0A34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063" w:type="dxa"/>
            <w:tcBorders>
              <w:left w:val="nil"/>
            </w:tcBorders>
            <w:noWrap w:val="0"/>
            <w:vAlign w:val="top"/>
          </w:tcPr>
          <w:p w14:paraId="67F015E1">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林业</w:t>
            </w:r>
          </w:p>
        </w:tc>
        <w:tc>
          <w:tcPr>
            <w:tcW w:w="1628" w:type="dxa"/>
            <w:noWrap w:val="0"/>
            <w:vAlign w:val="top"/>
          </w:tcPr>
          <w:p w14:paraId="0F044529">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1628" w:type="dxa"/>
            <w:noWrap w:val="0"/>
            <w:vAlign w:val="top"/>
          </w:tcPr>
          <w:p w14:paraId="42CF60C2">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1628" w:type="dxa"/>
            <w:noWrap w:val="0"/>
            <w:vAlign w:val="top"/>
          </w:tcPr>
          <w:p w14:paraId="3C380BF3">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1432" w:type="dxa"/>
            <w:tcBorders>
              <w:right w:val="nil"/>
            </w:tcBorders>
            <w:noWrap w:val="0"/>
            <w:vAlign w:val="top"/>
          </w:tcPr>
          <w:p w14:paraId="607D196A">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-100</w:t>
            </w:r>
          </w:p>
        </w:tc>
      </w:tr>
      <w:tr w14:paraId="2BBC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2063" w:type="dxa"/>
            <w:tcBorders>
              <w:left w:val="nil"/>
            </w:tcBorders>
            <w:noWrap w:val="0"/>
            <w:vAlign w:val="top"/>
          </w:tcPr>
          <w:p w14:paraId="184F95D6">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牧业</w:t>
            </w:r>
          </w:p>
        </w:tc>
        <w:tc>
          <w:tcPr>
            <w:tcW w:w="1628" w:type="dxa"/>
            <w:noWrap w:val="0"/>
            <w:vAlign w:val="top"/>
          </w:tcPr>
          <w:p w14:paraId="5A42295C">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8010.00</w:t>
            </w:r>
          </w:p>
        </w:tc>
        <w:tc>
          <w:tcPr>
            <w:tcW w:w="1628" w:type="dxa"/>
            <w:noWrap w:val="0"/>
            <w:vAlign w:val="top"/>
          </w:tcPr>
          <w:p w14:paraId="19D61B04">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8696.21</w:t>
            </w:r>
          </w:p>
        </w:tc>
        <w:tc>
          <w:tcPr>
            <w:tcW w:w="1628" w:type="dxa"/>
            <w:noWrap w:val="0"/>
            <w:vAlign w:val="top"/>
          </w:tcPr>
          <w:p w14:paraId="1BA0AAFE">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8322.90</w:t>
            </w:r>
          </w:p>
        </w:tc>
        <w:tc>
          <w:tcPr>
            <w:tcW w:w="1432" w:type="dxa"/>
            <w:tcBorders>
              <w:right w:val="nil"/>
            </w:tcBorders>
            <w:noWrap w:val="0"/>
            <w:vAlign w:val="top"/>
          </w:tcPr>
          <w:p w14:paraId="6AA8F967">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0.1</w:t>
            </w:r>
          </w:p>
        </w:tc>
      </w:tr>
      <w:tr w14:paraId="598B6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063" w:type="dxa"/>
            <w:tcBorders>
              <w:left w:val="nil"/>
            </w:tcBorders>
            <w:noWrap w:val="0"/>
            <w:vAlign w:val="top"/>
          </w:tcPr>
          <w:p w14:paraId="0C6E16E5">
            <w:pPr>
              <w:bidi w:val="0"/>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农林牧渔服务业</w:t>
            </w:r>
          </w:p>
        </w:tc>
        <w:tc>
          <w:tcPr>
            <w:tcW w:w="1628" w:type="dxa"/>
            <w:noWrap w:val="0"/>
            <w:vAlign w:val="top"/>
          </w:tcPr>
          <w:p w14:paraId="44305370">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630</w:t>
            </w:r>
          </w:p>
        </w:tc>
        <w:tc>
          <w:tcPr>
            <w:tcW w:w="1628" w:type="dxa"/>
            <w:noWrap w:val="0"/>
            <w:vAlign w:val="top"/>
          </w:tcPr>
          <w:p w14:paraId="3DAB0A46">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620</w:t>
            </w:r>
          </w:p>
        </w:tc>
        <w:tc>
          <w:tcPr>
            <w:tcW w:w="1628" w:type="dxa"/>
            <w:noWrap w:val="0"/>
            <w:vAlign w:val="top"/>
          </w:tcPr>
          <w:p w14:paraId="7A32C5ED">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600</w:t>
            </w:r>
          </w:p>
        </w:tc>
        <w:tc>
          <w:tcPr>
            <w:tcW w:w="1432" w:type="dxa"/>
            <w:tcBorders>
              <w:right w:val="nil"/>
            </w:tcBorders>
            <w:noWrap w:val="0"/>
            <w:vAlign w:val="top"/>
          </w:tcPr>
          <w:p w14:paraId="03795408">
            <w:pPr>
              <w:bidi w:val="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3.3</w:t>
            </w:r>
          </w:p>
        </w:tc>
      </w:tr>
    </w:tbl>
    <w:p w14:paraId="4BDC884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eastAsia="zh-CN"/>
        </w:rPr>
        <w:t>（一）农林牧渔业</w:t>
      </w:r>
    </w:p>
    <w:p w14:paraId="4E43CFAB">
      <w:pPr>
        <w:keepNext w:val="0"/>
        <w:keepLines w:val="0"/>
        <w:pageBreakBefore w:val="0"/>
        <w:widowControl w:val="0"/>
        <w:tabs>
          <w:tab w:val="center" w:pos="4153"/>
        </w:tabs>
        <w:kinsoku/>
        <w:wordWrap/>
        <w:overflowPunct/>
        <w:topLinePunct w:val="0"/>
        <w:autoSpaceDE/>
        <w:autoSpaceDN/>
        <w:bidi w:val="0"/>
        <w:adjustRightInd/>
        <w:snapToGrid/>
        <w:spacing w:line="560" w:lineRule="exact"/>
        <w:ind w:firstLine="640" w:firstLineChars="200"/>
        <w:jc w:val="both"/>
        <w:textAlignment w:val="auto"/>
        <w:rPr>
          <w:rFonts w:hint="eastAsia"/>
          <w:sz w:val="32"/>
          <w:szCs w:val="32"/>
          <w:lang w:val="en-US" w:eastAsia="zh-CN"/>
        </w:rPr>
      </w:pPr>
      <w:r>
        <w:rPr>
          <w:rFonts w:hint="eastAsia" w:ascii="仿宋_GB2312" w:hAnsi="仿宋_GB2312" w:eastAsia="仿宋_GB2312" w:cs="仿宋_GB2312"/>
          <w:color w:val="auto"/>
          <w:spacing w:val="0"/>
          <w:sz w:val="32"/>
          <w:szCs w:val="32"/>
          <w:lang w:eastAsia="zh-CN"/>
        </w:rPr>
        <w:t>经地区统计局审定反馈，</w:t>
      </w:r>
      <w:r>
        <w:rPr>
          <w:rFonts w:hint="eastAsia" w:ascii="仿宋_GB2312" w:hAnsi="仿宋_GB2312" w:eastAsia="仿宋_GB2312" w:cs="仿宋_GB2312"/>
          <w:color w:val="auto"/>
          <w:spacing w:val="0"/>
          <w:sz w:val="32"/>
          <w:szCs w:val="32"/>
          <w:lang w:val="en-US" w:eastAsia="zh-CN"/>
        </w:rPr>
        <w:t>2026年和布克赛尔县第一季度农林牧渔业完成产值为8648.1万元，同比增速为-1.3%（按可比价，下同）,其中：农业产值为8.10万元，无同期数；牧业产值8010万元，同比增速为0.1%；林业生产停滞，同比增速为-100%；农林牧渔服务业产值630万元，同比增长3.3%。通过产值占比情况看，牧业仍是绝对主导产业（占比92%），整体呈现“牧业主导，农业相对薄弱”的结构。</w:t>
      </w:r>
    </w:p>
    <w:p w14:paraId="5DE3F9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eastAsia="zh-CN"/>
        </w:rPr>
      </w:pPr>
      <w:r>
        <w:rPr>
          <w:rFonts w:hint="eastAsia" w:ascii="仿宋_GB2312" w:hAnsi="仿宋_GB2312" w:eastAsia="仿宋_GB2312" w:cs="仿宋_GB2312"/>
          <w:b w:val="0"/>
          <w:bCs w:val="0"/>
          <w:sz w:val="32"/>
          <w:szCs w:val="32"/>
          <w:highlight w:val="none"/>
          <w:lang w:val="en-US" w:eastAsia="zh-CN"/>
        </w:rPr>
        <w:t>经国家统计局塔城调查队核定，</w:t>
      </w:r>
      <w:r>
        <w:rPr>
          <w:rFonts w:hint="eastAsia" w:ascii="仿宋_GB2312" w:hAnsi="仿宋_GB2312" w:eastAsia="仿宋_GB2312" w:cs="仿宋_GB2312"/>
          <w:b/>
          <w:bCs/>
          <w:sz w:val="32"/>
          <w:szCs w:val="32"/>
          <w:lang w:val="en-US" w:eastAsia="zh-CN"/>
        </w:rPr>
        <w:t>一季度全</w:t>
      </w:r>
      <w:r>
        <w:rPr>
          <w:rFonts w:hint="eastAsia" w:ascii="仿宋_GB2312" w:hAnsi="仿宋_GB2312" w:eastAsia="仿宋_GB2312" w:cs="仿宋_GB2312"/>
          <w:b/>
          <w:bCs/>
          <w:color w:val="auto"/>
          <w:sz w:val="32"/>
          <w:szCs w:val="32"/>
        </w:rPr>
        <w:t>县主要畜禽存栏</w:t>
      </w:r>
      <w:r>
        <w:rPr>
          <w:rFonts w:hint="eastAsia" w:ascii="仿宋_GB2312" w:hAnsi="仿宋_GB2312" w:eastAsia="仿宋_GB2312" w:cs="仿宋_GB2312"/>
          <w:color w:val="auto"/>
          <w:sz w:val="32"/>
          <w:szCs w:val="32"/>
          <w:lang w:val="en-US" w:eastAsia="zh-CN"/>
        </w:rPr>
        <w:t>48</w:t>
      </w:r>
      <w:r>
        <w:rPr>
          <w:rFonts w:hint="eastAsia" w:ascii="仿宋_GB2312" w:hAnsi="仿宋_GB2312" w:eastAsia="仿宋_GB2312" w:cs="仿宋_GB2312"/>
          <w:color w:val="auto"/>
          <w:sz w:val="32"/>
          <w:szCs w:val="32"/>
        </w:rPr>
        <w:t>万头（只），同比</w:t>
      </w:r>
      <w:r>
        <w:rPr>
          <w:rFonts w:hint="eastAsia" w:ascii="仿宋_GB2312" w:hAnsi="仿宋_GB2312" w:eastAsia="仿宋_GB2312" w:cs="仿宋_GB2312"/>
          <w:color w:val="auto"/>
          <w:sz w:val="32"/>
          <w:szCs w:val="32"/>
          <w:lang w:eastAsia="zh-CN"/>
        </w:rPr>
        <w:t>下降</w:t>
      </w:r>
      <w:r>
        <w:rPr>
          <w:rFonts w:hint="eastAsia" w:ascii="仿宋_GB2312" w:hAnsi="仿宋_GB2312" w:eastAsia="仿宋_GB2312" w:cs="仿宋_GB2312"/>
          <w:color w:val="auto"/>
          <w:sz w:val="32"/>
          <w:szCs w:val="32"/>
          <w:lang w:val="en-US" w:eastAsia="zh-CN"/>
        </w:rPr>
        <w:t>10.69</w:t>
      </w:r>
      <w:r>
        <w:rPr>
          <w:rFonts w:hint="eastAsia" w:ascii="仿宋_GB2312" w:hAnsi="仿宋_GB2312" w:eastAsia="仿宋_GB2312" w:cs="仿宋_GB2312"/>
          <w:color w:val="auto"/>
          <w:sz w:val="32"/>
          <w:szCs w:val="32"/>
        </w:rPr>
        <w:t>%，其中，牛存栏</w:t>
      </w:r>
      <w:r>
        <w:rPr>
          <w:rFonts w:hint="eastAsia" w:ascii="仿宋_GB2312" w:hAnsi="仿宋_GB2312" w:eastAsia="仿宋_GB2312" w:cs="仿宋_GB2312"/>
          <w:color w:val="auto"/>
          <w:sz w:val="32"/>
          <w:szCs w:val="32"/>
          <w:lang w:val="en-US" w:eastAsia="zh-CN"/>
        </w:rPr>
        <w:t>7.4</w:t>
      </w:r>
      <w:r>
        <w:rPr>
          <w:rFonts w:hint="eastAsia" w:ascii="仿宋_GB2312" w:hAnsi="仿宋_GB2312" w:eastAsia="仿宋_GB2312" w:cs="仿宋_GB2312"/>
          <w:color w:val="auto"/>
          <w:sz w:val="32"/>
          <w:szCs w:val="32"/>
        </w:rPr>
        <w:t>万头，</w:t>
      </w:r>
      <w:r>
        <w:rPr>
          <w:rFonts w:hint="eastAsia" w:ascii="仿宋_GB2312" w:hAnsi="仿宋_GB2312" w:eastAsia="仿宋_GB2312" w:cs="仿宋_GB2312"/>
          <w:color w:val="auto"/>
          <w:sz w:val="32"/>
          <w:szCs w:val="32"/>
          <w:lang w:eastAsia="zh-CN"/>
        </w:rPr>
        <w:t>同比增长</w:t>
      </w:r>
      <w:r>
        <w:rPr>
          <w:rFonts w:hint="eastAsia" w:ascii="仿宋_GB2312" w:hAnsi="仿宋_GB2312" w:eastAsia="仿宋_GB2312" w:cs="仿宋_GB2312"/>
          <w:color w:val="auto"/>
          <w:sz w:val="32"/>
          <w:szCs w:val="32"/>
          <w:lang w:val="en-US" w:eastAsia="zh-CN"/>
        </w:rPr>
        <w:t xml:space="preserve">0.89 </w:t>
      </w:r>
      <w:r>
        <w:rPr>
          <w:rFonts w:hint="eastAsia" w:ascii="仿宋_GB2312" w:hAnsi="仿宋_GB2312" w:eastAsia="仿宋_GB2312" w:cs="仿宋_GB2312"/>
          <w:color w:val="auto"/>
          <w:sz w:val="32"/>
          <w:szCs w:val="32"/>
        </w:rPr>
        <w:t>%，羊存栏</w:t>
      </w:r>
      <w:r>
        <w:rPr>
          <w:rFonts w:hint="eastAsia" w:ascii="仿宋_GB2312" w:hAnsi="仿宋_GB2312" w:eastAsia="仿宋_GB2312" w:cs="仿宋_GB2312"/>
          <w:sz w:val="32"/>
          <w:szCs w:val="32"/>
          <w:lang w:val="en-US" w:eastAsia="zh-CN"/>
        </w:rPr>
        <w:t>40.35（万只），同比下降12.46%</w:t>
      </w:r>
      <w:r>
        <w:rPr>
          <w:rFonts w:hint="eastAsia" w:ascii="仿宋_GB2312" w:hAnsi="仿宋_GB2312" w:eastAsia="仿宋_GB2312" w:cs="仿宋_GB2312"/>
          <w:color w:val="auto"/>
          <w:sz w:val="32"/>
          <w:szCs w:val="32"/>
        </w:rPr>
        <w:t>，活家禽</w:t>
      </w:r>
      <w:r>
        <w:rPr>
          <w:rFonts w:hint="eastAsia" w:ascii="仿宋_GB2312" w:hAnsi="仿宋_GB2312" w:eastAsia="仿宋_GB2312" w:cs="仿宋_GB2312"/>
          <w:color w:val="auto"/>
          <w:sz w:val="32"/>
          <w:szCs w:val="32"/>
          <w:lang w:val="en-US" w:eastAsia="zh-CN"/>
        </w:rPr>
        <w:t>0.4</w:t>
      </w:r>
      <w:r>
        <w:rPr>
          <w:rFonts w:hint="eastAsia" w:ascii="仿宋_GB2312" w:hAnsi="仿宋_GB2312" w:eastAsia="仿宋_GB2312" w:cs="仿宋_GB2312"/>
          <w:color w:val="auto"/>
          <w:sz w:val="32"/>
          <w:szCs w:val="32"/>
        </w:rPr>
        <w:t>万只，同比</w:t>
      </w:r>
      <w:r>
        <w:rPr>
          <w:rFonts w:hint="eastAsia" w:ascii="仿宋_GB2312" w:hAnsi="仿宋_GB2312" w:eastAsia="仿宋_GB2312" w:cs="仿宋_GB2312"/>
          <w:sz w:val="32"/>
          <w:szCs w:val="32"/>
          <w:lang w:val="en-US" w:eastAsia="zh-CN"/>
        </w:rPr>
        <w:t>下降0.28%，</w:t>
      </w:r>
      <w:r>
        <w:rPr>
          <w:rFonts w:hint="eastAsia" w:ascii="仿宋_GB2312" w:hAnsi="仿宋_GB2312" w:eastAsia="仿宋_GB2312" w:cs="仿宋_GB2312"/>
          <w:color w:val="auto"/>
          <w:sz w:val="32"/>
          <w:szCs w:val="32"/>
        </w:rPr>
        <w:t>猪存栏</w:t>
      </w:r>
      <w:r>
        <w:rPr>
          <w:rFonts w:hint="eastAsia" w:ascii="仿宋_GB2312" w:hAnsi="仿宋_GB2312" w:eastAsia="仿宋_GB2312" w:cs="仿宋_GB2312"/>
          <w:sz w:val="32"/>
          <w:szCs w:val="32"/>
          <w:lang w:val="en-US" w:eastAsia="zh-CN"/>
        </w:rPr>
        <w:t>0.0667（万头），同比下降58.34%</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主要畜禽出栏</w:t>
      </w:r>
      <w:r>
        <w:rPr>
          <w:rFonts w:hint="eastAsia" w:ascii="仿宋_GB2312" w:hAnsi="仿宋_GB2312" w:eastAsia="仿宋_GB2312" w:cs="仿宋_GB2312"/>
          <w:color w:val="auto"/>
          <w:sz w:val="32"/>
          <w:szCs w:val="32"/>
          <w:lang w:val="en-US" w:eastAsia="zh-CN"/>
        </w:rPr>
        <w:t xml:space="preserve"> 3.1</w:t>
      </w:r>
      <w:r>
        <w:rPr>
          <w:rFonts w:hint="eastAsia" w:ascii="仿宋_GB2312" w:hAnsi="仿宋_GB2312" w:eastAsia="仿宋_GB2312" w:cs="仿宋_GB2312"/>
          <w:color w:val="auto"/>
          <w:sz w:val="32"/>
          <w:szCs w:val="32"/>
        </w:rPr>
        <w:t>万头（只），同比</w:t>
      </w:r>
      <w:r>
        <w:rPr>
          <w:rFonts w:hint="eastAsia" w:ascii="仿宋_GB2312" w:hAnsi="仿宋_GB2312" w:eastAsia="仿宋_GB2312" w:cs="仿宋_GB2312"/>
          <w:color w:val="auto"/>
          <w:sz w:val="32"/>
          <w:szCs w:val="32"/>
          <w:lang w:eastAsia="zh-CN"/>
        </w:rPr>
        <w:t>下降</w:t>
      </w:r>
      <w:r>
        <w:rPr>
          <w:rFonts w:hint="eastAsia" w:ascii="仿宋_GB2312" w:hAnsi="仿宋_GB2312" w:eastAsia="仿宋_GB2312" w:cs="仿宋_GB2312"/>
          <w:color w:val="auto"/>
          <w:sz w:val="32"/>
          <w:szCs w:val="32"/>
          <w:lang w:val="en-US" w:eastAsia="zh-CN"/>
        </w:rPr>
        <w:t>48.02</w:t>
      </w:r>
      <w:r>
        <w:rPr>
          <w:rFonts w:hint="eastAsia" w:ascii="仿宋_GB2312" w:hAnsi="仿宋_GB2312" w:eastAsia="仿宋_GB2312" w:cs="仿宋_GB2312"/>
          <w:color w:val="auto"/>
          <w:sz w:val="32"/>
          <w:szCs w:val="32"/>
        </w:rPr>
        <w:t>%，其中，牛出栏</w:t>
      </w:r>
      <w:r>
        <w:rPr>
          <w:rFonts w:hint="eastAsia" w:ascii="仿宋_GB2312" w:hAnsi="仿宋_GB2312" w:eastAsia="仿宋_GB2312" w:cs="仿宋_GB2312"/>
          <w:color w:val="auto"/>
          <w:sz w:val="32"/>
          <w:szCs w:val="32"/>
          <w:lang w:val="en-US" w:eastAsia="zh-CN"/>
        </w:rPr>
        <w:t>0.4</w:t>
      </w:r>
      <w:r>
        <w:rPr>
          <w:rFonts w:hint="eastAsia" w:ascii="仿宋_GB2312" w:hAnsi="仿宋_GB2312" w:eastAsia="仿宋_GB2312" w:cs="仿宋_GB2312"/>
          <w:color w:val="auto"/>
          <w:sz w:val="32"/>
          <w:szCs w:val="32"/>
        </w:rPr>
        <w:t>万头，</w:t>
      </w:r>
      <w:r>
        <w:rPr>
          <w:rFonts w:hint="eastAsia" w:ascii="仿宋_GB2312" w:hAnsi="仿宋_GB2312" w:eastAsia="仿宋_GB2312" w:cs="仿宋_GB2312"/>
          <w:color w:val="auto"/>
          <w:sz w:val="32"/>
          <w:szCs w:val="32"/>
          <w:lang w:eastAsia="zh-CN"/>
        </w:rPr>
        <w:t>同比</w:t>
      </w:r>
      <w:r>
        <w:rPr>
          <w:rFonts w:hint="eastAsia" w:ascii="仿宋_GB2312" w:hAnsi="仿宋_GB2312" w:eastAsia="仿宋_GB2312" w:cs="仿宋_GB2312"/>
          <w:sz w:val="32"/>
          <w:szCs w:val="32"/>
          <w:lang w:val="en-US" w:eastAsia="zh-CN"/>
        </w:rPr>
        <w:t>下降3.44%</w:t>
      </w:r>
      <w:r>
        <w:rPr>
          <w:rFonts w:hint="eastAsia" w:ascii="仿宋_GB2312" w:hAnsi="仿宋_GB2312" w:eastAsia="仿宋_GB2312" w:cs="仿宋_GB2312"/>
          <w:color w:val="auto"/>
          <w:sz w:val="32"/>
          <w:szCs w:val="32"/>
        </w:rPr>
        <w:t>，羊出栏</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万只，</w:t>
      </w:r>
      <w:r>
        <w:rPr>
          <w:rFonts w:hint="eastAsia" w:ascii="仿宋_GB2312" w:hAnsi="仿宋_GB2312" w:eastAsia="仿宋_GB2312" w:cs="仿宋_GB2312"/>
          <w:color w:val="auto"/>
          <w:sz w:val="32"/>
          <w:szCs w:val="32"/>
          <w:lang w:eastAsia="zh-CN"/>
        </w:rPr>
        <w:t>同比下降</w:t>
      </w:r>
      <w:r>
        <w:rPr>
          <w:rFonts w:hint="eastAsia" w:ascii="仿宋_GB2312" w:hAnsi="仿宋_GB2312" w:eastAsia="仿宋_GB2312" w:cs="仿宋_GB2312"/>
          <w:sz w:val="32"/>
          <w:szCs w:val="32"/>
          <w:lang w:val="en-US" w:eastAsia="zh-CN"/>
        </w:rPr>
        <w:t>49.55%</w:t>
      </w:r>
      <w:r>
        <w:rPr>
          <w:rFonts w:hint="eastAsia" w:ascii="仿宋_GB2312" w:hAnsi="仿宋_GB2312" w:eastAsia="仿宋_GB2312" w:cs="仿宋_GB2312"/>
          <w:color w:val="auto"/>
          <w:sz w:val="32"/>
          <w:szCs w:val="32"/>
        </w:rPr>
        <w:t>，猪出栏</w:t>
      </w:r>
      <w:r>
        <w:rPr>
          <w:rFonts w:hint="eastAsia" w:ascii="仿宋_GB2312" w:hAnsi="仿宋_GB2312" w:eastAsia="仿宋_GB2312" w:cs="仿宋_GB2312"/>
          <w:color w:val="auto"/>
          <w:sz w:val="32"/>
          <w:szCs w:val="32"/>
          <w:lang w:val="en-US" w:eastAsia="zh-CN"/>
        </w:rPr>
        <w:t>0.003</w:t>
      </w:r>
      <w:r>
        <w:rPr>
          <w:rFonts w:hint="eastAsia" w:ascii="仿宋_GB2312" w:hAnsi="仿宋_GB2312" w:eastAsia="仿宋_GB2312" w:cs="仿宋_GB2312"/>
          <w:color w:val="auto"/>
          <w:sz w:val="32"/>
          <w:szCs w:val="32"/>
        </w:rPr>
        <w:t>万头，同比</w:t>
      </w:r>
      <w:r>
        <w:rPr>
          <w:rFonts w:hint="eastAsia" w:ascii="仿宋_GB2312" w:hAnsi="仿宋_GB2312" w:eastAsia="仿宋_GB2312" w:cs="仿宋_GB2312"/>
          <w:sz w:val="32"/>
          <w:szCs w:val="32"/>
          <w:lang w:val="en-US" w:eastAsia="zh-CN"/>
        </w:rPr>
        <w:t>下降97.84%</w:t>
      </w:r>
      <w:r>
        <w:rPr>
          <w:rFonts w:hint="eastAsia" w:ascii="仿宋_GB2312" w:hAnsi="仿宋_GB2312" w:eastAsia="仿宋_GB2312" w:cs="仿宋_GB2312"/>
          <w:color w:val="auto"/>
          <w:sz w:val="32"/>
          <w:szCs w:val="32"/>
          <w:lang w:eastAsia="zh-CN"/>
        </w:rPr>
        <w:t>，活家禽出栏</w:t>
      </w:r>
      <w:r>
        <w:rPr>
          <w:rFonts w:hint="eastAsia" w:ascii="仿宋_GB2312" w:hAnsi="仿宋_GB2312" w:eastAsia="仿宋_GB2312" w:cs="仿宋_GB2312"/>
          <w:color w:val="auto"/>
          <w:sz w:val="32"/>
          <w:szCs w:val="32"/>
          <w:lang w:val="en-US" w:eastAsia="zh-CN"/>
        </w:rPr>
        <w:t>0.099万只，同比下降</w:t>
      </w:r>
      <w:r>
        <w:rPr>
          <w:rFonts w:hint="eastAsia" w:ascii="仿宋_GB2312" w:hAnsi="仿宋_GB2312" w:eastAsia="仿宋_GB2312" w:cs="仿宋_GB2312"/>
          <w:sz w:val="32"/>
          <w:szCs w:val="32"/>
          <w:lang w:val="en-US" w:eastAsia="zh-CN"/>
        </w:rPr>
        <w:t>65.10%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bCs/>
          <w:color w:val="auto"/>
          <w:sz w:val="32"/>
          <w:szCs w:val="32"/>
        </w:rPr>
        <w:t>畜禽产品产量，</w:t>
      </w:r>
      <w:r>
        <w:rPr>
          <w:rFonts w:hint="eastAsia" w:ascii="仿宋_GB2312" w:hAnsi="仿宋_GB2312" w:eastAsia="仿宋_GB2312" w:cs="仿宋_GB2312"/>
          <w:color w:val="auto"/>
          <w:sz w:val="32"/>
          <w:szCs w:val="32"/>
        </w:rPr>
        <w:t>牛肉</w:t>
      </w:r>
      <w:r>
        <w:rPr>
          <w:rFonts w:hint="eastAsia" w:ascii="仿宋_GB2312" w:hAnsi="仿宋_GB2312" w:eastAsia="仿宋_GB2312" w:cs="仿宋_GB2312"/>
          <w:color w:val="auto"/>
          <w:sz w:val="32"/>
          <w:szCs w:val="32"/>
          <w:lang w:val="en-US" w:eastAsia="zh-CN"/>
        </w:rPr>
        <w:t>694</w:t>
      </w:r>
      <w:r>
        <w:rPr>
          <w:rFonts w:hint="eastAsia" w:ascii="仿宋_GB2312" w:hAnsi="仿宋_GB2312" w:eastAsia="仿宋_GB2312" w:cs="仿宋_GB2312"/>
          <w:color w:val="auto"/>
          <w:sz w:val="32"/>
          <w:szCs w:val="32"/>
        </w:rPr>
        <w:t>吨，</w:t>
      </w:r>
      <w:r>
        <w:rPr>
          <w:rFonts w:hint="eastAsia" w:ascii="仿宋_GB2312" w:hAnsi="仿宋_GB2312" w:eastAsia="仿宋_GB2312" w:cs="仿宋_GB2312"/>
          <w:color w:val="auto"/>
          <w:sz w:val="32"/>
          <w:szCs w:val="32"/>
          <w:lang w:eastAsia="zh-CN"/>
        </w:rPr>
        <w:t>同比下降</w:t>
      </w:r>
      <w:r>
        <w:rPr>
          <w:rFonts w:hint="eastAsia" w:ascii="仿宋_GB2312" w:hAnsi="仿宋_GB2312" w:eastAsia="仿宋_GB2312" w:cs="仿宋_GB2312"/>
          <w:color w:val="auto"/>
          <w:sz w:val="32"/>
          <w:szCs w:val="32"/>
          <w:lang w:val="en-US" w:eastAsia="zh-CN"/>
        </w:rPr>
        <w:t>3.18</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羊肉</w:t>
      </w:r>
      <w:r>
        <w:rPr>
          <w:rFonts w:hint="eastAsia" w:ascii="仿宋_GB2312" w:hAnsi="仿宋_GB2312" w:eastAsia="仿宋_GB2312" w:cs="仿宋_GB2312"/>
          <w:color w:val="auto"/>
          <w:sz w:val="32"/>
          <w:szCs w:val="32"/>
          <w:lang w:val="en-US" w:eastAsia="zh-CN"/>
        </w:rPr>
        <w:t>457</w:t>
      </w:r>
      <w:r>
        <w:rPr>
          <w:rFonts w:hint="eastAsia" w:ascii="仿宋_GB2312" w:hAnsi="仿宋_GB2312" w:eastAsia="仿宋_GB2312" w:cs="仿宋_GB2312"/>
          <w:color w:val="auto"/>
          <w:sz w:val="32"/>
          <w:szCs w:val="32"/>
        </w:rPr>
        <w:t>吨，</w:t>
      </w:r>
      <w:r>
        <w:rPr>
          <w:rFonts w:hint="eastAsia" w:ascii="仿宋_GB2312" w:hAnsi="仿宋_GB2312" w:eastAsia="仿宋_GB2312" w:cs="仿宋_GB2312"/>
          <w:color w:val="auto"/>
          <w:sz w:val="32"/>
          <w:szCs w:val="32"/>
          <w:lang w:eastAsia="zh-CN"/>
        </w:rPr>
        <w:t>同比下降</w:t>
      </w:r>
      <w:r>
        <w:rPr>
          <w:rFonts w:hint="eastAsia" w:ascii="仿宋_GB2312" w:hAnsi="仿宋_GB2312" w:eastAsia="仿宋_GB2312" w:cs="仿宋_GB2312"/>
          <w:color w:val="auto"/>
          <w:sz w:val="32"/>
          <w:szCs w:val="32"/>
          <w:lang w:val="en-US" w:eastAsia="zh-CN"/>
        </w:rPr>
        <w:t>46.7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猪肉</w:t>
      </w:r>
      <w:r>
        <w:rPr>
          <w:rFonts w:hint="eastAsia" w:ascii="仿宋_GB2312" w:hAnsi="仿宋_GB2312" w:eastAsia="仿宋_GB2312" w:cs="仿宋_GB2312"/>
          <w:color w:val="auto"/>
          <w:sz w:val="32"/>
          <w:szCs w:val="32"/>
          <w:lang w:val="en-US" w:eastAsia="zh-CN"/>
        </w:rPr>
        <w:t>2.34</w:t>
      </w:r>
      <w:r>
        <w:rPr>
          <w:rFonts w:hint="eastAsia" w:ascii="仿宋_GB2312" w:hAnsi="仿宋_GB2312" w:eastAsia="仿宋_GB2312" w:cs="仿宋_GB2312"/>
          <w:color w:val="auto"/>
          <w:sz w:val="32"/>
          <w:szCs w:val="32"/>
        </w:rPr>
        <w:t>吨，同比</w:t>
      </w:r>
      <w:r>
        <w:rPr>
          <w:rFonts w:hint="eastAsia" w:ascii="仿宋_GB2312" w:hAnsi="仿宋_GB2312" w:eastAsia="仿宋_GB2312" w:cs="仿宋_GB2312"/>
          <w:color w:val="auto"/>
          <w:sz w:val="32"/>
          <w:szCs w:val="32"/>
          <w:lang w:eastAsia="zh-CN"/>
        </w:rPr>
        <w:t>下降</w:t>
      </w:r>
      <w:r>
        <w:rPr>
          <w:rFonts w:hint="eastAsia" w:ascii="仿宋_GB2312" w:hAnsi="仿宋_GB2312" w:eastAsia="仿宋_GB2312" w:cs="仿宋_GB2312"/>
          <w:color w:val="auto"/>
          <w:sz w:val="32"/>
          <w:szCs w:val="32"/>
          <w:lang w:val="en-US" w:eastAsia="zh-CN"/>
        </w:rPr>
        <w:t>97.43</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禽肉</w:t>
      </w:r>
      <w:r>
        <w:rPr>
          <w:rFonts w:hint="eastAsia" w:ascii="仿宋_GB2312" w:hAnsi="仿宋_GB2312" w:eastAsia="仿宋_GB2312" w:cs="仿宋_GB2312"/>
          <w:color w:val="auto"/>
          <w:sz w:val="32"/>
          <w:szCs w:val="32"/>
          <w:lang w:val="en-US" w:eastAsia="zh-CN"/>
        </w:rPr>
        <w:t>1.44</w:t>
      </w:r>
      <w:r>
        <w:rPr>
          <w:rFonts w:hint="eastAsia" w:ascii="仿宋_GB2312" w:hAnsi="仿宋_GB2312" w:eastAsia="仿宋_GB2312" w:cs="仿宋_GB2312"/>
          <w:color w:val="auto"/>
          <w:sz w:val="32"/>
          <w:szCs w:val="32"/>
        </w:rPr>
        <w:t>吨，</w:t>
      </w:r>
      <w:r>
        <w:rPr>
          <w:rFonts w:hint="eastAsia" w:ascii="仿宋_GB2312" w:hAnsi="仿宋_GB2312" w:eastAsia="仿宋_GB2312" w:cs="仿宋_GB2312"/>
          <w:color w:val="auto"/>
          <w:sz w:val="32"/>
          <w:szCs w:val="32"/>
          <w:lang w:eastAsia="zh-CN"/>
        </w:rPr>
        <w:t>同比下降</w:t>
      </w:r>
      <w:r>
        <w:rPr>
          <w:rFonts w:hint="eastAsia" w:ascii="仿宋_GB2312" w:hAnsi="仿宋_GB2312" w:eastAsia="仿宋_GB2312" w:cs="仿宋_GB2312"/>
          <w:color w:val="auto"/>
          <w:sz w:val="32"/>
          <w:szCs w:val="32"/>
          <w:lang w:val="en-US" w:eastAsia="zh-CN"/>
        </w:rPr>
        <w:t>75.54%；</w:t>
      </w:r>
      <w:r>
        <w:rPr>
          <w:rFonts w:hint="eastAsia" w:ascii="仿宋_GB2312" w:hAnsi="仿宋_GB2312" w:eastAsia="仿宋_GB2312" w:cs="仿宋_GB2312"/>
          <w:color w:val="auto"/>
          <w:sz w:val="32"/>
          <w:szCs w:val="32"/>
        </w:rPr>
        <w:t>禽蛋</w:t>
      </w:r>
      <w:r>
        <w:rPr>
          <w:rFonts w:hint="eastAsia" w:ascii="仿宋_GB2312" w:hAnsi="仿宋_GB2312" w:eastAsia="仿宋_GB2312" w:cs="仿宋_GB2312"/>
          <w:color w:val="auto"/>
          <w:sz w:val="32"/>
          <w:szCs w:val="32"/>
          <w:lang w:val="en-US" w:eastAsia="zh-CN"/>
        </w:rPr>
        <w:t xml:space="preserve"> 8</w:t>
      </w:r>
      <w:r>
        <w:rPr>
          <w:rFonts w:hint="eastAsia" w:ascii="仿宋_GB2312" w:hAnsi="仿宋_GB2312" w:eastAsia="仿宋_GB2312" w:cs="仿宋_GB2312"/>
          <w:color w:val="auto"/>
          <w:sz w:val="32"/>
          <w:szCs w:val="32"/>
        </w:rPr>
        <w:t>吨，同比</w:t>
      </w:r>
      <w:r>
        <w:rPr>
          <w:rFonts w:hint="eastAsia" w:ascii="仿宋_GB2312" w:hAnsi="仿宋_GB2312" w:eastAsia="仿宋_GB2312" w:cs="仿宋_GB2312"/>
          <w:color w:val="auto"/>
          <w:sz w:val="32"/>
          <w:szCs w:val="32"/>
          <w:lang w:eastAsia="zh-CN"/>
        </w:rPr>
        <w:t>下降</w:t>
      </w:r>
      <w:r>
        <w:rPr>
          <w:rFonts w:hint="eastAsia" w:ascii="仿宋_GB2312" w:hAnsi="仿宋_GB2312" w:eastAsia="仿宋_GB2312" w:cs="仿宋_GB2312"/>
          <w:color w:val="auto"/>
          <w:sz w:val="32"/>
          <w:szCs w:val="32"/>
          <w:lang w:val="en-US" w:eastAsia="zh-CN"/>
        </w:rPr>
        <w:t>3.56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生牛奶</w:t>
      </w:r>
      <w:r>
        <w:rPr>
          <w:rFonts w:hint="eastAsia" w:ascii="仿宋_GB2312" w:hAnsi="仿宋_GB2312" w:eastAsia="仿宋_GB2312" w:cs="仿宋_GB2312"/>
          <w:color w:val="auto"/>
          <w:sz w:val="32"/>
          <w:szCs w:val="32"/>
          <w:lang w:val="en-US" w:eastAsia="zh-CN"/>
        </w:rPr>
        <w:t>759</w:t>
      </w:r>
      <w:r>
        <w:rPr>
          <w:rFonts w:hint="eastAsia" w:ascii="仿宋_GB2312" w:hAnsi="仿宋_GB2312" w:eastAsia="仿宋_GB2312" w:cs="仿宋_GB2312"/>
          <w:color w:val="auto"/>
          <w:sz w:val="32"/>
          <w:szCs w:val="32"/>
        </w:rPr>
        <w:t>吨，同比</w:t>
      </w:r>
      <w:r>
        <w:rPr>
          <w:rFonts w:hint="eastAsia" w:ascii="仿宋_GB2312" w:hAnsi="仿宋_GB2312" w:eastAsia="仿宋_GB2312" w:cs="仿宋_GB2312"/>
          <w:color w:val="auto"/>
          <w:sz w:val="32"/>
          <w:szCs w:val="32"/>
          <w:lang w:eastAsia="zh-CN"/>
        </w:rPr>
        <w:t>下降</w:t>
      </w:r>
      <w:r>
        <w:rPr>
          <w:rFonts w:hint="eastAsia" w:ascii="仿宋_GB2312" w:hAnsi="仿宋_GB2312" w:eastAsia="仿宋_GB2312" w:cs="仿宋_GB2312"/>
          <w:color w:val="auto"/>
          <w:sz w:val="32"/>
          <w:szCs w:val="32"/>
          <w:lang w:val="en-US" w:eastAsia="zh-CN"/>
        </w:rPr>
        <w:t>24.43</w:t>
      </w:r>
      <w:r>
        <w:rPr>
          <w:rFonts w:hint="eastAsia" w:ascii="仿宋_GB2312" w:hAnsi="仿宋_GB2312" w:eastAsia="仿宋_GB2312" w:cs="仿宋_GB2312"/>
          <w:color w:val="auto"/>
          <w:sz w:val="32"/>
          <w:szCs w:val="32"/>
        </w:rPr>
        <w:t>%。</w:t>
      </w:r>
    </w:p>
    <w:p w14:paraId="33E9A6ED">
      <w:pPr>
        <w:spacing w:line="560" w:lineRule="exact"/>
        <w:ind w:firstLine="2249" w:firstLineChars="700"/>
        <w:jc w:val="left"/>
        <w:rPr>
          <w:rFonts w:hint="eastAsia" w:ascii="仿宋_GB2312" w:hAnsi="仿宋_GB2312" w:eastAsia="仿宋_GB2312" w:cs="仿宋_GB2312"/>
          <w:b/>
          <w:bCs/>
          <w:color w:val="auto"/>
          <w:sz w:val="32"/>
          <w:szCs w:val="32"/>
          <w:lang w:eastAsia="zh-CN"/>
        </w:rPr>
      </w:pPr>
      <w:r>
        <w:rPr>
          <w:rFonts w:hint="eastAsia" w:ascii="仿宋_GB2312" w:hAnsi="仿宋_GB2312" w:eastAsia="仿宋_GB2312" w:cs="仿宋_GB2312"/>
          <w:b/>
          <w:bCs/>
          <w:color w:val="auto"/>
          <w:sz w:val="32"/>
          <w:szCs w:val="32"/>
          <w:lang w:eastAsia="zh-CN"/>
        </w:rPr>
        <w:t>一季度全县畜牧业生产情况表</w:t>
      </w:r>
    </w:p>
    <w:tbl>
      <w:tblPr>
        <w:tblStyle w:val="3"/>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3"/>
        <w:gridCol w:w="852"/>
        <w:gridCol w:w="1515"/>
        <w:gridCol w:w="1907"/>
        <w:gridCol w:w="2261"/>
      </w:tblGrid>
      <w:tr w14:paraId="68B3C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7516A77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指标名称</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415BBED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计量单位</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22C0509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10"/>
                <w:rFonts w:hint="eastAsia" w:ascii="仿宋_GB2312" w:hAnsi="仿宋_GB2312" w:eastAsia="仿宋_GB2312" w:cs="仿宋_GB2312"/>
                <w:b/>
                <w:bCs/>
                <w:sz w:val="24"/>
                <w:szCs w:val="24"/>
                <w:lang w:val="en-US" w:eastAsia="zh-CN" w:bidi="ar"/>
              </w:rPr>
              <w:t>2026</w:t>
            </w:r>
            <w:r>
              <w:rPr>
                <w:rStyle w:val="8"/>
                <w:rFonts w:hint="eastAsia" w:ascii="仿宋_GB2312" w:hAnsi="仿宋_GB2312" w:eastAsia="仿宋_GB2312" w:cs="仿宋_GB2312"/>
                <w:b/>
                <w:bCs/>
                <w:sz w:val="24"/>
                <w:szCs w:val="24"/>
                <w:lang w:val="en-US" w:eastAsia="zh-CN" w:bidi="ar"/>
              </w:rPr>
              <w:t>年</w:t>
            </w:r>
            <w:r>
              <w:rPr>
                <w:rStyle w:val="10"/>
                <w:rFonts w:hint="eastAsia" w:ascii="仿宋_GB2312" w:hAnsi="仿宋_GB2312" w:eastAsia="仿宋_GB2312" w:cs="仿宋_GB2312"/>
                <w:b/>
                <w:bCs/>
                <w:sz w:val="24"/>
                <w:szCs w:val="24"/>
                <w:lang w:val="en-US" w:eastAsia="zh-CN" w:bidi="ar"/>
              </w:rPr>
              <w:t>1</w:t>
            </w:r>
            <w:r>
              <w:rPr>
                <w:rStyle w:val="8"/>
                <w:rFonts w:hint="eastAsia" w:ascii="仿宋_GB2312" w:hAnsi="仿宋_GB2312" w:eastAsia="仿宋_GB2312" w:cs="仿宋_GB2312"/>
                <w:b/>
                <w:bCs/>
                <w:sz w:val="24"/>
                <w:szCs w:val="24"/>
                <w:lang w:val="en-US" w:eastAsia="zh-CN" w:bidi="ar"/>
              </w:rPr>
              <w:t>季度</w:t>
            </w:r>
          </w:p>
        </w:tc>
        <w:tc>
          <w:tcPr>
            <w:tcW w:w="1907" w:type="dxa"/>
            <w:tcBorders>
              <w:top w:val="single" w:color="000000" w:sz="4" w:space="0"/>
              <w:left w:val="single" w:color="000000" w:sz="4" w:space="0"/>
              <w:bottom w:val="single" w:color="000000" w:sz="4" w:space="0"/>
              <w:right w:val="single" w:color="000000" w:sz="4" w:space="0"/>
            </w:tcBorders>
            <w:noWrap w:val="0"/>
            <w:vAlign w:val="center"/>
          </w:tcPr>
          <w:p w14:paraId="27527A8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11"/>
                <w:rFonts w:hint="eastAsia" w:ascii="仿宋_GB2312" w:hAnsi="仿宋_GB2312" w:eastAsia="仿宋_GB2312" w:cs="仿宋_GB2312"/>
                <w:b/>
                <w:bCs/>
                <w:sz w:val="24"/>
                <w:szCs w:val="24"/>
                <w:lang w:val="en-US" w:eastAsia="zh-CN" w:bidi="ar"/>
              </w:rPr>
              <w:t>2025</w:t>
            </w:r>
            <w:r>
              <w:rPr>
                <w:rStyle w:val="9"/>
                <w:rFonts w:hint="eastAsia" w:ascii="仿宋_GB2312" w:hAnsi="仿宋_GB2312" w:eastAsia="仿宋_GB2312" w:cs="仿宋_GB2312"/>
                <w:b/>
                <w:bCs/>
                <w:sz w:val="24"/>
                <w:szCs w:val="24"/>
                <w:lang w:val="en-US" w:eastAsia="zh-CN" w:bidi="ar"/>
              </w:rPr>
              <w:t>年</w:t>
            </w:r>
            <w:r>
              <w:rPr>
                <w:rStyle w:val="11"/>
                <w:rFonts w:hint="eastAsia" w:ascii="仿宋_GB2312" w:hAnsi="仿宋_GB2312" w:eastAsia="仿宋_GB2312" w:cs="仿宋_GB2312"/>
                <w:b/>
                <w:bCs/>
                <w:sz w:val="24"/>
                <w:szCs w:val="24"/>
                <w:lang w:val="en-US" w:eastAsia="zh-CN" w:bidi="ar"/>
              </w:rPr>
              <w:t>1</w:t>
            </w:r>
            <w:r>
              <w:rPr>
                <w:rStyle w:val="9"/>
                <w:rFonts w:hint="eastAsia" w:ascii="仿宋_GB2312" w:hAnsi="仿宋_GB2312" w:eastAsia="仿宋_GB2312" w:cs="仿宋_GB2312"/>
                <w:b/>
                <w:bCs/>
                <w:sz w:val="24"/>
                <w:szCs w:val="24"/>
                <w:lang w:val="en-US" w:eastAsia="zh-CN" w:bidi="ar"/>
              </w:rPr>
              <w:t>季度</w:t>
            </w:r>
          </w:p>
        </w:tc>
        <w:tc>
          <w:tcPr>
            <w:tcW w:w="2261" w:type="dxa"/>
            <w:tcBorders>
              <w:top w:val="single" w:color="000000" w:sz="4" w:space="0"/>
              <w:left w:val="single" w:color="000000" w:sz="4" w:space="0"/>
              <w:bottom w:val="single" w:color="000000" w:sz="4" w:space="0"/>
              <w:right w:val="single" w:color="000000" w:sz="4" w:space="0"/>
            </w:tcBorders>
            <w:noWrap w:val="0"/>
            <w:vAlign w:val="center"/>
          </w:tcPr>
          <w:p w14:paraId="492B08D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增速</w:t>
            </w:r>
          </w:p>
        </w:tc>
      </w:tr>
      <w:tr w14:paraId="392AE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7"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39499ED3">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一、畜禽存栏</w:t>
            </w:r>
            <w:r>
              <w:rPr>
                <w:rStyle w:val="10"/>
                <w:rFonts w:hint="eastAsia" w:ascii="仿宋_GB2312" w:hAnsi="仿宋_GB2312" w:eastAsia="仿宋_GB2312" w:cs="仿宋_GB2312"/>
                <w:b/>
                <w:bCs/>
                <w:sz w:val="24"/>
                <w:szCs w:val="24"/>
                <w:lang w:val="en-US" w:eastAsia="zh-CN" w:bidi="ar"/>
              </w:rPr>
              <w:t xml:space="preserve">  </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1CE8F3C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39C326C1">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48</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1AE9E1C9">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54</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68B7DFAE">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-10.69%</w:t>
            </w:r>
          </w:p>
        </w:tc>
      </w:tr>
      <w:tr w14:paraId="270FE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6162819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猪</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21B8992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万头</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3ABA7851">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0.0667</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0B7AF63A">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0.1600</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5C62CC95">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-58.34%</w:t>
            </w:r>
          </w:p>
        </w:tc>
      </w:tr>
      <w:tr w14:paraId="106A9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126C91D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牛</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4C14A14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万头</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3F218918">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7.4064</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48F224EC">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7.3410</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2C54CEEB">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0.89%</w:t>
            </w:r>
          </w:p>
        </w:tc>
      </w:tr>
      <w:tr w14:paraId="7C900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332EEF8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羊</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5EA391A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万只</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33C254D9">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40.3554</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04FDADAB">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46.1001</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49B4450C">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-12.46%</w:t>
            </w:r>
          </w:p>
        </w:tc>
      </w:tr>
      <w:tr w14:paraId="6A0D3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5A377F2F">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活家禽</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30400E7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万只</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68F3B0ED">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0.4001</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257143F1">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0.4012</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57E8A28A">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-0.28%</w:t>
            </w:r>
          </w:p>
        </w:tc>
      </w:tr>
      <w:tr w14:paraId="55D46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5971D1B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二、畜禽出栏</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7D26620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2E9A1A28">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3.1</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2E4CDFC7">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5.9</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1256F6EE">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-48.02%</w:t>
            </w:r>
          </w:p>
        </w:tc>
      </w:tr>
      <w:tr w14:paraId="308EF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7A3A754A">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猪</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2436E53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万头</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601496EA">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0.0025</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31F42E8A">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0.1150</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77DBEBB4">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-97.84%</w:t>
            </w:r>
          </w:p>
        </w:tc>
      </w:tr>
      <w:tr w14:paraId="66CFF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03F7C73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牛</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178A5DF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万头</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48B558BF">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0.3999</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55148386">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0.4142</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58997D27">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-3.44%</w:t>
            </w:r>
          </w:p>
        </w:tc>
      </w:tr>
      <w:tr w14:paraId="23228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7CAFA8D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羊</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4522D1F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万只</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17F85C89">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2.6019</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062DEDE6">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5.1573</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2A87095F">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-49.55%</w:t>
            </w:r>
          </w:p>
        </w:tc>
      </w:tr>
      <w:tr w14:paraId="372AD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1549AC2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活家禽</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14D5B61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万只</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252BB0DA">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0.0991</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79AF01E7">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0.2839</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0D5E900D">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-65.10%</w:t>
            </w:r>
          </w:p>
        </w:tc>
      </w:tr>
      <w:tr w14:paraId="63980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0949957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三、畜禽产品产量</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221FE08C">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48F9447B">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410C98EF">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3171B3B9">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r>
      <w:tr w14:paraId="17EAF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6FDBCA71">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猪肉</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4A6F3D37">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万吨</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5A0C14B8">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0.000234</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3A7A24BE">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0.009100</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157ABB12">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-97.43%</w:t>
            </w:r>
          </w:p>
        </w:tc>
      </w:tr>
      <w:tr w14:paraId="3FAA6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4C2E83A0">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牛肉</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2954134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万吨</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2F89B771">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0.069461</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3B73E87F">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0.071741</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172D97E3">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-3.18%</w:t>
            </w:r>
          </w:p>
        </w:tc>
      </w:tr>
      <w:tr w14:paraId="4CEEF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607E4828">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羊肉</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34E5130E">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万吨</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33CA4597">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0.045750</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2192D73E">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0.085833</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3BA1C4CE">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-46.70%</w:t>
            </w:r>
          </w:p>
        </w:tc>
      </w:tr>
      <w:tr w14:paraId="0BA83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3B8AAF46">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禽肉</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50B5164D">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万吨</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5191DEBD">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0.000144</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52A1130B">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0.000589</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6BB7EAB6">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-75.54%</w:t>
            </w:r>
          </w:p>
        </w:tc>
      </w:tr>
      <w:tr w14:paraId="5FC62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4D5A0779">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禽蛋</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47C0DAE4">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万吨</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02103117">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0.000808</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44273051">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0.000838</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4B4719EE">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-3.56%</w:t>
            </w:r>
          </w:p>
        </w:tc>
      </w:tr>
      <w:tr w14:paraId="1C30B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1983" w:type="dxa"/>
            <w:tcBorders>
              <w:top w:val="single" w:color="000000" w:sz="4" w:space="0"/>
              <w:left w:val="single" w:color="000000" w:sz="4" w:space="0"/>
              <w:bottom w:val="single" w:color="000000" w:sz="4" w:space="0"/>
              <w:right w:val="single" w:color="000000" w:sz="4" w:space="0"/>
            </w:tcBorders>
            <w:noWrap/>
            <w:vAlign w:val="center"/>
          </w:tcPr>
          <w:p w14:paraId="3A50D742">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生牛奶</w:t>
            </w:r>
          </w:p>
        </w:tc>
        <w:tc>
          <w:tcPr>
            <w:tcW w:w="852" w:type="dxa"/>
            <w:tcBorders>
              <w:top w:val="single" w:color="000000" w:sz="4" w:space="0"/>
              <w:left w:val="single" w:color="000000" w:sz="4" w:space="0"/>
              <w:bottom w:val="single" w:color="000000" w:sz="4" w:space="0"/>
              <w:right w:val="single" w:color="000000" w:sz="4" w:space="0"/>
            </w:tcBorders>
            <w:noWrap/>
            <w:vAlign w:val="center"/>
          </w:tcPr>
          <w:p w14:paraId="37391115">
            <w:pPr>
              <w:keepNext w:val="0"/>
              <w:keepLines w:val="0"/>
              <w:pageBreakBefore w:val="0"/>
              <w:widowControl/>
              <w:suppressLineNumbers w:val="0"/>
              <w:kinsoku/>
              <w:wordWrap/>
              <w:overflowPunct/>
              <w:topLinePunct w:val="0"/>
              <w:autoSpaceDE/>
              <w:autoSpaceDN/>
              <w:bidi w:val="0"/>
              <w:adjustRightInd/>
              <w:snapToGrid/>
              <w:spacing w:line="240" w:lineRule="atLeast"/>
              <w:jc w:val="center"/>
              <w:textAlignment w:val="center"/>
              <w:rPr>
                <w:rFonts w:hint="eastAsia" w:ascii="仿宋_GB2312" w:hAnsi="仿宋_GB2312" w:eastAsia="仿宋_GB2312" w:cs="仿宋_GB2312"/>
                <w:b/>
                <w:bCs/>
                <w:i w:val="0"/>
                <w:iCs w:val="0"/>
                <w:color w:val="000000"/>
                <w:sz w:val="24"/>
                <w:szCs w:val="24"/>
                <w:u w:val="none"/>
              </w:rPr>
            </w:pPr>
            <w:r>
              <w:rPr>
                <w:rStyle w:val="8"/>
                <w:rFonts w:hint="eastAsia" w:ascii="仿宋_GB2312" w:hAnsi="仿宋_GB2312" w:eastAsia="仿宋_GB2312" w:cs="仿宋_GB2312"/>
                <w:b/>
                <w:bCs/>
                <w:sz w:val="24"/>
                <w:szCs w:val="24"/>
                <w:lang w:val="en-US" w:eastAsia="zh-CN" w:bidi="ar"/>
              </w:rPr>
              <w:t>万吨</w:t>
            </w:r>
          </w:p>
        </w:tc>
        <w:tc>
          <w:tcPr>
            <w:tcW w:w="1515" w:type="dxa"/>
            <w:tcBorders>
              <w:top w:val="single" w:color="000000" w:sz="4" w:space="0"/>
              <w:left w:val="single" w:color="000000" w:sz="4" w:space="0"/>
              <w:bottom w:val="single" w:color="000000" w:sz="4" w:space="0"/>
              <w:right w:val="single" w:color="000000" w:sz="4" w:space="0"/>
            </w:tcBorders>
            <w:noWrap/>
            <w:vAlign w:val="center"/>
          </w:tcPr>
          <w:p w14:paraId="4290983B">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0.075904</w:t>
            </w:r>
          </w:p>
        </w:tc>
        <w:tc>
          <w:tcPr>
            <w:tcW w:w="1907" w:type="dxa"/>
            <w:tcBorders>
              <w:top w:val="single" w:color="000000" w:sz="4" w:space="0"/>
              <w:left w:val="single" w:color="000000" w:sz="4" w:space="0"/>
              <w:bottom w:val="single" w:color="000000" w:sz="4" w:space="0"/>
              <w:right w:val="single" w:color="000000" w:sz="4" w:space="0"/>
            </w:tcBorders>
            <w:noWrap/>
            <w:vAlign w:val="center"/>
          </w:tcPr>
          <w:p w14:paraId="051B168D">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0.100439</w:t>
            </w:r>
          </w:p>
        </w:tc>
        <w:tc>
          <w:tcPr>
            <w:tcW w:w="2261" w:type="dxa"/>
            <w:tcBorders>
              <w:top w:val="single" w:color="000000" w:sz="4" w:space="0"/>
              <w:left w:val="single" w:color="000000" w:sz="4" w:space="0"/>
              <w:bottom w:val="single" w:color="000000" w:sz="4" w:space="0"/>
              <w:right w:val="single" w:color="000000" w:sz="4" w:space="0"/>
            </w:tcBorders>
            <w:noWrap/>
            <w:vAlign w:val="center"/>
          </w:tcPr>
          <w:p w14:paraId="7E69B877">
            <w:pPr>
              <w:bidi w:val="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-24.43%</w:t>
            </w:r>
          </w:p>
        </w:tc>
      </w:tr>
    </w:tbl>
    <w:p w14:paraId="710D00E3">
      <w:pPr>
        <w:keepNext w:val="0"/>
        <w:keepLines w:val="0"/>
        <w:pageBreakBefore w:val="0"/>
        <w:widowControl w:val="0"/>
        <w:kinsoku/>
        <w:wordWrap/>
        <w:overflowPunct/>
        <w:topLinePunct w:val="0"/>
        <w:autoSpaceDE/>
        <w:autoSpaceDN/>
        <w:bidi w:val="0"/>
        <w:adjustRightInd/>
        <w:snapToGrid/>
        <w:spacing w:line="560" w:lineRule="exact"/>
        <w:ind w:firstLine="321" w:firstLineChars="100"/>
        <w:textAlignment w:val="auto"/>
        <w:rPr>
          <w:rFonts w:hint="eastAsia" w:ascii="仿宋_GB2312" w:hAnsi="仿宋_GB2312" w:eastAsia="仿宋_GB2312" w:cs="仿宋_GB2312"/>
          <w:b/>
          <w:bCs/>
          <w:sz w:val="32"/>
          <w:szCs w:val="32"/>
          <w:highlight w:val="none"/>
          <w:lang w:eastAsia="zh-CN"/>
        </w:rPr>
      </w:pPr>
      <w:r>
        <w:rPr>
          <w:rFonts w:hint="eastAsia" w:ascii="仿宋_GB2312" w:hAnsi="仿宋_GB2312" w:eastAsia="仿宋_GB2312" w:cs="仿宋_GB2312"/>
          <w:b/>
          <w:bCs/>
          <w:sz w:val="32"/>
          <w:szCs w:val="32"/>
          <w:highlight w:val="none"/>
          <w:lang w:eastAsia="zh-CN"/>
        </w:rPr>
        <w:t>（二）工业和建筑业</w:t>
      </w:r>
    </w:p>
    <w:p w14:paraId="3F6AB8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lang w:eastAsia="zh-CN"/>
        </w:rPr>
        <w:t>一季度，全县</w:t>
      </w:r>
      <w:r>
        <w:rPr>
          <w:rFonts w:hint="eastAsia" w:ascii="仿宋_GB2312" w:hAnsi="仿宋_GB2312" w:eastAsia="仿宋_GB2312" w:cs="仿宋_GB2312"/>
          <w:color w:val="auto"/>
          <w:sz w:val="32"/>
          <w:szCs w:val="32"/>
          <w:lang w:val="en-US" w:eastAsia="zh-CN"/>
        </w:rPr>
        <w:t>实现</w:t>
      </w:r>
      <w:r>
        <w:rPr>
          <w:rFonts w:hint="eastAsia" w:ascii="仿宋_GB2312" w:hAnsi="仿宋_GB2312" w:eastAsia="仿宋_GB2312" w:cs="仿宋_GB2312"/>
          <w:color w:val="auto"/>
          <w:sz w:val="32"/>
          <w:szCs w:val="32"/>
          <w:lang w:eastAsia="zh-CN"/>
        </w:rPr>
        <w:t>工业增加值</w:t>
      </w:r>
      <w:r>
        <w:rPr>
          <w:rFonts w:hint="eastAsia" w:ascii="仿宋_GB2312" w:hAnsi="仿宋_GB2312" w:eastAsia="仿宋_GB2312" w:cs="仿宋_GB2312"/>
          <w:color w:val="auto"/>
          <w:sz w:val="32"/>
          <w:szCs w:val="32"/>
          <w:lang w:val="en-US" w:eastAsia="zh-CN"/>
        </w:rPr>
        <w:t>7.07亿元，同比增长17.3%。其中，19家规模以上工业完成工业增加值4.66亿元，同比增长19.4%。</w:t>
      </w:r>
    </w:p>
    <w:p w14:paraId="5C927A3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采矿业略有增长。</w:t>
      </w:r>
      <w:r>
        <w:rPr>
          <w:rFonts w:hint="eastAsia" w:ascii="仿宋_GB2312" w:hAnsi="仿宋_GB2312" w:eastAsia="仿宋_GB2312" w:cs="仿宋_GB2312"/>
          <w:b w:val="0"/>
          <w:bCs w:val="0"/>
          <w:sz w:val="32"/>
          <w:szCs w:val="32"/>
          <w:lang w:val="en-US" w:eastAsia="zh-CN"/>
        </w:rPr>
        <w:t>规上采矿业增</w:t>
      </w:r>
      <w:r>
        <w:rPr>
          <w:rFonts w:hint="eastAsia" w:ascii="仿宋_GB2312" w:hAnsi="仿宋_GB2312" w:eastAsia="仿宋_GB2312" w:cs="仿宋_GB2312"/>
          <w:sz w:val="32"/>
          <w:szCs w:val="32"/>
          <w:lang w:val="en-US" w:eastAsia="zh-CN"/>
        </w:rPr>
        <w:t>加值2.28亿元，同比增长8.5%，其中，煤炭开采和洗选业1.80亿元，同比降低1.2%，非金属矿采选业增加值0.48亿元，同比增长49.1%。煤炭开采和洗选业增长的企业有：华地矿业有限公司增加值同比增长23.6%；增加值下降的企业是新疆赛尔能源矿业有限公司同比下降4.6%，沙吉海煤业有限责任公司同比下降4.3%，国网能源和丰煤电有限公司同比下降0.2%。非金属矿采选业除拓森能源有限公司、新疆旭辉工贸有限公司未生产以外，其他3家企业增加值全部实现增长，具体是：新疆和丰西海能源科技有限公司增长1908.2%、新疆宜新化工有限公司增长100%（上年同期未生产）、宏达盐业有限公司增长45.4%。</w:t>
      </w:r>
    </w:p>
    <w:p w14:paraId="569880C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制造业大幅增长。</w:t>
      </w:r>
      <w:r>
        <w:rPr>
          <w:rFonts w:hint="eastAsia" w:ascii="仿宋_GB2312" w:hAnsi="仿宋_GB2312" w:eastAsia="仿宋_GB2312" w:cs="仿宋_GB2312"/>
          <w:sz w:val="32"/>
          <w:szCs w:val="32"/>
          <w:lang w:val="en-US" w:eastAsia="zh-CN"/>
        </w:rPr>
        <w:t>制造业增加值1782.4万元，同比增长168.7%，其中，化学原料和化学制品制造业增加值137.4万元，同比增长185.6%，主要是新雅泰化工有限公司本年仅</w:t>
      </w:r>
      <w:r>
        <w:rPr>
          <w:rFonts w:hint="eastAsia" w:ascii="仿宋_GB2312" w:hAnsi="仿宋_GB2312" w:eastAsia="仿宋_GB2312" w:cs="仿宋_GB2312"/>
          <w:sz w:val="32"/>
          <w:szCs w:val="32"/>
          <w:highlight w:val="none"/>
          <w:lang w:val="en-US" w:eastAsia="zh-CN"/>
        </w:rPr>
        <w:t>生</w:t>
      </w:r>
      <w:r>
        <w:rPr>
          <w:rFonts w:hint="eastAsia" w:ascii="仿宋_GB2312" w:hAnsi="仿宋_GB2312" w:eastAsia="仿宋_GB2312" w:cs="仿宋_GB2312"/>
          <w:sz w:val="32"/>
          <w:szCs w:val="32"/>
          <w:lang w:val="en-US" w:eastAsia="zh-CN"/>
        </w:rPr>
        <w:t>产硫酸钾，上年同期生产硫酸钾与硫酸钾镁，硫酸钾镁单价低，导致同期基数小，增幅大。非金属矿物制品业增加值1566.4万元，同比增长218.3%，主要是全荣有限公司上年同期生产时间短，今年因订单量增加，销量同比增长165.2%，熟料单价同比增长14.6%，导致硅酸盐水泥熟料累计产量同比增长16%，累计增速202.4%。</w:t>
      </w:r>
    </w:p>
    <w:p w14:paraId="4804605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电力、热力生产和供应业大幅增长。</w:t>
      </w:r>
      <w:r>
        <w:rPr>
          <w:rFonts w:hint="eastAsia" w:ascii="仿宋_GB2312" w:hAnsi="仿宋_GB2312" w:eastAsia="仿宋_GB2312" w:cs="仿宋_GB2312"/>
          <w:sz w:val="32"/>
          <w:szCs w:val="32"/>
          <w:lang w:val="en-US" w:eastAsia="zh-CN"/>
        </w:rPr>
        <w:t>电力、热力生产和供应业实现增加值2.20亿元，同比增长28.6%。五家光伏发电的企业仅有华电和布克赛尔新能源有限公司增加值同比降低了21.7%，其他四家企业光伏产值全部增长，国网能源和丰煤电有限公司、华光新能源有限公司、美恒光伏、海天达光伏分别</w:t>
      </w:r>
      <w:r>
        <w:rPr>
          <w:rFonts w:hint="eastAsia" w:ascii="仿宋_GB2312" w:hAnsi="仿宋_GB2312" w:eastAsia="仿宋_GB2312" w:cs="仿宋_GB2312"/>
          <w:sz w:val="32"/>
          <w:szCs w:val="32"/>
          <w:highlight w:val="none"/>
          <w:lang w:val="en-US" w:eastAsia="zh-CN"/>
        </w:rPr>
        <w:t>增长</w:t>
      </w:r>
      <w:r>
        <w:rPr>
          <w:rFonts w:hint="eastAsia" w:ascii="仿宋_GB2312" w:hAnsi="仿宋_GB2312" w:eastAsia="仿宋_GB2312" w:cs="仿宋_GB2312"/>
          <w:sz w:val="32"/>
          <w:szCs w:val="32"/>
          <w:lang w:val="en-US" w:eastAsia="zh-CN"/>
        </w:rPr>
        <w:t>了42.3%、226.7%、46.9%、25.7%。</w:t>
      </w:r>
    </w:p>
    <w:p w14:paraId="44A30A63">
      <w:pPr>
        <w:pStyle w:val="2"/>
        <w:keepNext/>
        <w:keepLines/>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一季度规上工业三大门类增速及所占比重情况</w:t>
      </w:r>
    </w:p>
    <w:tbl>
      <w:tblPr>
        <w:tblStyle w:val="3"/>
        <w:tblW w:w="0" w:type="auto"/>
        <w:tblInd w:w="0" w:type="dxa"/>
        <w:tblLayout w:type="fixed"/>
        <w:tblCellMar>
          <w:top w:w="0" w:type="dxa"/>
          <w:left w:w="0" w:type="dxa"/>
          <w:bottom w:w="0" w:type="dxa"/>
          <w:right w:w="0" w:type="dxa"/>
        </w:tblCellMar>
      </w:tblPr>
      <w:tblGrid>
        <w:gridCol w:w="2483"/>
        <w:gridCol w:w="1568"/>
        <w:gridCol w:w="1584"/>
        <w:gridCol w:w="996"/>
        <w:gridCol w:w="1191"/>
        <w:gridCol w:w="1095"/>
      </w:tblGrid>
      <w:tr w14:paraId="45329BEE">
        <w:tblPrEx>
          <w:tblCellMar>
            <w:top w:w="0" w:type="dxa"/>
            <w:left w:w="0" w:type="dxa"/>
            <w:bottom w:w="0" w:type="dxa"/>
            <w:right w:w="0" w:type="dxa"/>
          </w:tblCellMar>
        </w:tblPrEx>
        <w:trPr>
          <w:trHeight w:val="937" w:hRule="atLeast"/>
        </w:trPr>
        <w:tc>
          <w:tcPr>
            <w:tcW w:w="248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85DCD34">
            <w:pPr>
              <w:widowControl/>
              <w:jc w:val="both"/>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指标名称</w:t>
            </w:r>
          </w:p>
        </w:tc>
        <w:tc>
          <w:tcPr>
            <w:tcW w:w="1568"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052CA394">
            <w:pPr>
              <w:widowControl/>
              <w:jc w:val="both"/>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增加值(亿元)</w:t>
            </w:r>
          </w:p>
        </w:tc>
        <w:tc>
          <w:tcPr>
            <w:tcW w:w="1584"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1B743679">
            <w:pPr>
              <w:widowControl/>
              <w:jc w:val="both"/>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增加值占比%</w:t>
            </w:r>
          </w:p>
        </w:tc>
        <w:tc>
          <w:tcPr>
            <w:tcW w:w="996"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3116825C">
            <w:pPr>
              <w:widowControl/>
              <w:jc w:val="both"/>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增速%</w:t>
            </w:r>
          </w:p>
        </w:tc>
        <w:tc>
          <w:tcPr>
            <w:tcW w:w="1191"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403589E9">
            <w:pPr>
              <w:widowControl/>
              <w:jc w:val="both"/>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贡献率%</w:t>
            </w:r>
          </w:p>
        </w:tc>
        <w:tc>
          <w:tcPr>
            <w:tcW w:w="1095"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1A55B113">
            <w:pPr>
              <w:widowControl/>
              <w:jc w:val="both"/>
              <w:textAlignment w:val="center"/>
              <w:rPr>
                <w:rFonts w:hint="eastAsia"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拉动力%</w:t>
            </w:r>
          </w:p>
        </w:tc>
      </w:tr>
      <w:tr w14:paraId="27578664">
        <w:tblPrEx>
          <w:tblCellMar>
            <w:top w:w="0" w:type="dxa"/>
            <w:left w:w="0" w:type="dxa"/>
            <w:bottom w:w="0" w:type="dxa"/>
            <w:right w:w="0" w:type="dxa"/>
          </w:tblCellMar>
        </w:tblPrEx>
        <w:trPr>
          <w:trHeight w:val="729" w:hRule="atLeast"/>
        </w:trPr>
        <w:tc>
          <w:tcPr>
            <w:tcW w:w="2483"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49E6EDB4">
            <w:pPr>
              <w:widowControl/>
              <w:ind w:firstLine="241" w:firstLineChars="100"/>
              <w:jc w:val="both"/>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规上工业增加值</w:t>
            </w:r>
          </w:p>
        </w:tc>
        <w:tc>
          <w:tcPr>
            <w:tcW w:w="1568" w:type="dxa"/>
            <w:tcBorders>
              <w:top w:val="nil"/>
              <w:left w:val="nil"/>
              <w:bottom w:val="single" w:color="auto" w:sz="4" w:space="0"/>
              <w:right w:val="single" w:color="auto" w:sz="4" w:space="0"/>
            </w:tcBorders>
            <w:noWrap/>
            <w:tcMar>
              <w:top w:w="15" w:type="dxa"/>
              <w:left w:w="15" w:type="dxa"/>
              <w:right w:w="15" w:type="dxa"/>
            </w:tcMar>
            <w:vAlign w:val="center"/>
          </w:tcPr>
          <w:p w14:paraId="745FE054">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4.66</w:t>
            </w:r>
          </w:p>
        </w:tc>
        <w:tc>
          <w:tcPr>
            <w:tcW w:w="1584" w:type="dxa"/>
            <w:tcBorders>
              <w:top w:val="nil"/>
              <w:left w:val="nil"/>
              <w:bottom w:val="single" w:color="auto" w:sz="4" w:space="0"/>
              <w:right w:val="single" w:color="auto" w:sz="4" w:space="0"/>
            </w:tcBorders>
            <w:noWrap/>
            <w:tcMar>
              <w:top w:w="15" w:type="dxa"/>
              <w:left w:w="15" w:type="dxa"/>
              <w:right w:w="15" w:type="dxa"/>
            </w:tcMar>
            <w:vAlign w:val="center"/>
          </w:tcPr>
          <w:p w14:paraId="49FDBA20">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996" w:type="dxa"/>
            <w:tcBorders>
              <w:top w:val="nil"/>
              <w:left w:val="nil"/>
              <w:bottom w:val="single" w:color="auto" w:sz="4" w:space="0"/>
              <w:right w:val="single" w:color="auto" w:sz="4" w:space="0"/>
            </w:tcBorders>
            <w:noWrap/>
            <w:tcMar>
              <w:top w:w="15" w:type="dxa"/>
              <w:left w:w="15" w:type="dxa"/>
              <w:right w:w="15" w:type="dxa"/>
            </w:tcMar>
            <w:vAlign w:val="center"/>
          </w:tcPr>
          <w:p w14:paraId="6F7FFDF3">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19.4</w:t>
            </w:r>
          </w:p>
        </w:tc>
        <w:tc>
          <w:tcPr>
            <w:tcW w:w="1191" w:type="dxa"/>
            <w:tcBorders>
              <w:top w:val="nil"/>
              <w:left w:val="nil"/>
              <w:bottom w:val="single" w:color="auto" w:sz="4" w:space="0"/>
              <w:right w:val="single" w:color="auto" w:sz="4" w:space="0"/>
            </w:tcBorders>
            <w:noWrap/>
            <w:tcMar>
              <w:top w:w="15" w:type="dxa"/>
              <w:left w:w="15" w:type="dxa"/>
              <w:right w:w="15" w:type="dxa"/>
            </w:tcMar>
            <w:vAlign w:val="center"/>
          </w:tcPr>
          <w:p w14:paraId="3C5B8B81">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100</w:t>
            </w:r>
          </w:p>
        </w:tc>
        <w:tc>
          <w:tcPr>
            <w:tcW w:w="1095" w:type="dxa"/>
            <w:tcBorders>
              <w:top w:val="nil"/>
              <w:left w:val="nil"/>
              <w:bottom w:val="single" w:color="auto" w:sz="4" w:space="0"/>
              <w:right w:val="single" w:color="auto" w:sz="4" w:space="0"/>
            </w:tcBorders>
            <w:noWrap/>
            <w:tcMar>
              <w:top w:w="15" w:type="dxa"/>
              <w:left w:w="15" w:type="dxa"/>
              <w:right w:w="15" w:type="dxa"/>
            </w:tcMar>
            <w:vAlign w:val="center"/>
          </w:tcPr>
          <w:p w14:paraId="4124B5AB">
            <w:pPr>
              <w:widowControl/>
              <w:jc w:val="both"/>
              <w:textAlignment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100</w:t>
            </w:r>
          </w:p>
        </w:tc>
      </w:tr>
      <w:tr w14:paraId="2A25A9CE">
        <w:tblPrEx>
          <w:tblCellMar>
            <w:top w:w="0" w:type="dxa"/>
            <w:left w:w="0" w:type="dxa"/>
            <w:bottom w:w="0" w:type="dxa"/>
            <w:right w:w="0" w:type="dxa"/>
          </w:tblCellMar>
        </w:tblPrEx>
        <w:trPr>
          <w:trHeight w:val="793" w:hRule="atLeast"/>
        </w:trPr>
        <w:tc>
          <w:tcPr>
            <w:tcW w:w="2483"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4E1D617E">
            <w:pPr>
              <w:widowControl/>
              <w:ind w:firstLine="241" w:firstLineChars="100"/>
              <w:jc w:val="both"/>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其中：采矿业</w:t>
            </w:r>
          </w:p>
        </w:tc>
        <w:tc>
          <w:tcPr>
            <w:tcW w:w="1568" w:type="dxa"/>
            <w:tcBorders>
              <w:top w:val="nil"/>
              <w:left w:val="nil"/>
              <w:bottom w:val="single" w:color="auto" w:sz="4" w:space="0"/>
              <w:right w:val="single" w:color="auto" w:sz="4" w:space="0"/>
            </w:tcBorders>
            <w:noWrap/>
            <w:tcMar>
              <w:top w:w="15" w:type="dxa"/>
              <w:left w:w="15" w:type="dxa"/>
              <w:right w:w="15" w:type="dxa"/>
            </w:tcMar>
            <w:vAlign w:val="center"/>
          </w:tcPr>
          <w:p w14:paraId="69E73C5D">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2.28</w:t>
            </w:r>
          </w:p>
        </w:tc>
        <w:tc>
          <w:tcPr>
            <w:tcW w:w="1584" w:type="dxa"/>
            <w:tcBorders>
              <w:top w:val="nil"/>
              <w:left w:val="nil"/>
              <w:bottom w:val="single" w:color="auto" w:sz="4" w:space="0"/>
              <w:right w:val="single" w:color="auto" w:sz="4" w:space="0"/>
            </w:tcBorders>
            <w:noWrap/>
            <w:tcMar>
              <w:top w:w="15" w:type="dxa"/>
              <w:left w:w="15" w:type="dxa"/>
              <w:right w:w="15" w:type="dxa"/>
            </w:tcMar>
            <w:vAlign w:val="center"/>
          </w:tcPr>
          <w:p w14:paraId="44829BB9">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48.9</w:t>
            </w:r>
          </w:p>
        </w:tc>
        <w:tc>
          <w:tcPr>
            <w:tcW w:w="996" w:type="dxa"/>
            <w:tcBorders>
              <w:top w:val="nil"/>
              <w:left w:val="nil"/>
              <w:bottom w:val="single" w:color="auto" w:sz="4" w:space="0"/>
              <w:right w:val="single" w:color="auto" w:sz="4" w:space="0"/>
            </w:tcBorders>
            <w:noWrap/>
            <w:tcMar>
              <w:top w:w="15" w:type="dxa"/>
              <w:left w:w="15" w:type="dxa"/>
              <w:right w:w="15" w:type="dxa"/>
            </w:tcMar>
            <w:vAlign w:val="center"/>
          </w:tcPr>
          <w:p w14:paraId="60C1D3A6">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8.5</w:t>
            </w:r>
          </w:p>
        </w:tc>
        <w:tc>
          <w:tcPr>
            <w:tcW w:w="1191" w:type="dxa"/>
            <w:tcBorders>
              <w:top w:val="nil"/>
              <w:left w:val="nil"/>
              <w:bottom w:val="single" w:color="auto" w:sz="4" w:space="0"/>
              <w:right w:val="single" w:color="auto" w:sz="4" w:space="0"/>
            </w:tcBorders>
            <w:noWrap/>
            <w:tcMar>
              <w:top w:w="15" w:type="dxa"/>
              <w:left w:w="15" w:type="dxa"/>
              <w:right w:w="15" w:type="dxa"/>
            </w:tcMar>
            <w:vAlign w:val="center"/>
          </w:tcPr>
          <w:p w14:paraId="2341DA15">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24.9</w:t>
            </w:r>
          </w:p>
        </w:tc>
        <w:tc>
          <w:tcPr>
            <w:tcW w:w="1095" w:type="dxa"/>
            <w:tcBorders>
              <w:top w:val="nil"/>
              <w:left w:val="nil"/>
              <w:bottom w:val="single" w:color="auto" w:sz="4" w:space="0"/>
              <w:right w:val="single" w:color="auto" w:sz="4" w:space="0"/>
            </w:tcBorders>
            <w:noWrap/>
            <w:tcMar>
              <w:top w:w="15" w:type="dxa"/>
              <w:left w:w="15" w:type="dxa"/>
              <w:right w:w="15" w:type="dxa"/>
            </w:tcMar>
            <w:vAlign w:val="center"/>
          </w:tcPr>
          <w:p w14:paraId="70AF19BD">
            <w:pPr>
              <w:widowControl/>
              <w:jc w:val="both"/>
              <w:textAlignment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4.8</w:t>
            </w:r>
          </w:p>
        </w:tc>
      </w:tr>
      <w:tr w14:paraId="2F056D55">
        <w:tblPrEx>
          <w:tblCellMar>
            <w:top w:w="0" w:type="dxa"/>
            <w:left w:w="0" w:type="dxa"/>
            <w:bottom w:w="0" w:type="dxa"/>
            <w:right w:w="0" w:type="dxa"/>
          </w:tblCellMar>
        </w:tblPrEx>
        <w:trPr>
          <w:trHeight w:val="731" w:hRule="atLeast"/>
        </w:trPr>
        <w:tc>
          <w:tcPr>
            <w:tcW w:w="2483"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36205C83">
            <w:pPr>
              <w:widowControl/>
              <w:ind w:firstLine="964" w:firstLineChars="400"/>
              <w:jc w:val="both"/>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制造业</w:t>
            </w:r>
          </w:p>
        </w:tc>
        <w:tc>
          <w:tcPr>
            <w:tcW w:w="1568" w:type="dxa"/>
            <w:tcBorders>
              <w:top w:val="nil"/>
              <w:left w:val="nil"/>
              <w:bottom w:val="single" w:color="auto" w:sz="4" w:space="0"/>
              <w:right w:val="single" w:color="auto" w:sz="4" w:space="0"/>
            </w:tcBorders>
            <w:noWrap/>
            <w:tcMar>
              <w:top w:w="15" w:type="dxa"/>
              <w:left w:w="15" w:type="dxa"/>
              <w:right w:w="15" w:type="dxa"/>
            </w:tcMar>
            <w:vAlign w:val="center"/>
          </w:tcPr>
          <w:p w14:paraId="2E7D10BD">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0.18</w:t>
            </w:r>
          </w:p>
        </w:tc>
        <w:tc>
          <w:tcPr>
            <w:tcW w:w="1584" w:type="dxa"/>
            <w:tcBorders>
              <w:top w:val="nil"/>
              <w:left w:val="nil"/>
              <w:bottom w:val="single" w:color="auto" w:sz="4" w:space="0"/>
              <w:right w:val="single" w:color="auto" w:sz="4" w:space="0"/>
            </w:tcBorders>
            <w:noWrap/>
            <w:tcMar>
              <w:top w:w="15" w:type="dxa"/>
              <w:left w:w="15" w:type="dxa"/>
              <w:right w:w="15" w:type="dxa"/>
            </w:tcMar>
            <w:vAlign w:val="center"/>
          </w:tcPr>
          <w:p w14:paraId="2799BB04">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3.8</w:t>
            </w:r>
          </w:p>
        </w:tc>
        <w:tc>
          <w:tcPr>
            <w:tcW w:w="996" w:type="dxa"/>
            <w:tcBorders>
              <w:top w:val="nil"/>
              <w:left w:val="nil"/>
              <w:bottom w:val="single" w:color="auto" w:sz="4" w:space="0"/>
              <w:right w:val="single" w:color="auto" w:sz="4" w:space="0"/>
            </w:tcBorders>
            <w:noWrap/>
            <w:tcMar>
              <w:top w:w="15" w:type="dxa"/>
              <w:left w:w="15" w:type="dxa"/>
              <w:right w:w="15" w:type="dxa"/>
            </w:tcMar>
            <w:vAlign w:val="center"/>
          </w:tcPr>
          <w:p w14:paraId="175ABAE6">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168.7</w:t>
            </w:r>
          </w:p>
        </w:tc>
        <w:tc>
          <w:tcPr>
            <w:tcW w:w="1191" w:type="dxa"/>
            <w:tcBorders>
              <w:top w:val="nil"/>
              <w:left w:val="nil"/>
              <w:bottom w:val="single" w:color="auto" w:sz="4" w:space="0"/>
              <w:right w:val="single" w:color="auto" w:sz="4" w:space="0"/>
            </w:tcBorders>
            <w:noWrap/>
            <w:tcMar>
              <w:top w:w="15" w:type="dxa"/>
              <w:left w:w="15" w:type="dxa"/>
              <w:right w:w="15" w:type="dxa"/>
            </w:tcMar>
            <w:vAlign w:val="center"/>
          </w:tcPr>
          <w:p w14:paraId="57C3258B">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13.6</w:t>
            </w:r>
          </w:p>
        </w:tc>
        <w:tc>
          <w:tcPr>
            <w:tcW w:w="1095" w:type="dxa"/>
            <w:tcBorders>
              <w:top w:val="nil"/>
              <w:left w:val="nil"/>
              <w:bottom w:val="single" w:color="auto" w:sz="4" w:space="0"/>
              <w:right w:val="single" w:color="auto" w:sz="4" w:space="0"/>
            </w:tcBorders>
            <w:noWrap/>
            <w:tcMar>
              <w:top w:w="15" w:type="dxa"/>
              <w:left w:w="15" w:type="dxa"/>
              <w:right w:w="15" w:type="dxa"/>
            </w:tcMar>
            <w:vAlign w:val="center"/>
          </w:tcPr>
          <w:p w14:paraId="7D0CDCDA">
            <w:pPr>
              <w:widowControl/>
              <w:jc w:val="both"/>
              <w:textAlignment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2.6</w:t>
            </w:r>
          </w:p>
        </w:tc>
      </w:tr>
      <w:tr w14:paraId="28142DBD">
        <w:tblPrEx>
          <w:tblCellMar>
            <w:top w:w="0" w:type="dxa"/>
            <w:left w:w="0" w:type="dxa"/>
            <w:bottom w:w="0" w:type="dxa"/>
            <w:right w:w="0" w:type="dxa"/>
          </w:tblCellMar>
        </w:tblPrEx>
        <w:trPr>
          <w:trHeight w:val="876" w:hRule="atLeast"/>
        </w:trPr>
        <w:tc>
          <w:tcPr>
            <w:tcW w:w="2483"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3F07FEC3">
            <w:pPr>
              <w:widowControl/>
              <w:jc w:val="both"/>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rPr>
              <w:t>电力、热力生产和供应业</w:t>
            </w:r>
          </w:p>
        </w:tc>
        <w:tc>
          <w:tcPr>
            <w:tcW w:w="1568" w:type="dxa"/>
            <w:tcBorders>
              <w:top w:val="nil"/>
              <w:left w:val="nil"/>
              <w:bottom w:val="single" w:color="auto" w:sz="4" w:space="0"/>
              <w:right w:val="single" w:color="auto" w:sz="4" w:space="0"/>
            </w:tcBorders>
            <w:noWrap/>
            <w:tcMar>
              <w:top w:w="15" w:type="dxa"/>
              <w:left w:w="15" w:type="dxa"/>
              <w:right w:w="15" w:type="dxa"/>
            </w:tcMar>
            <w:vAlign w:val="center"/>
          </w:tcPr>
          <w:p w14:paraId="006A351E">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2.20</w:t>
            </w:r>
          </w:p>
        </w:tc>
        <w:tc>
          <w:tcPr>
            <w:tcW w:w="1584" w:type="dxa"/>
            <w:tcBorders>
              <w:top w:val="nil"/>
              <w:left w:val="nil"/>
              <w:bottom w:val="single" w:color="auto" w:sz="4" w:space="0"/>
              <w:right w:val="single" w:color="auto" w:sz="4" w:space="0"/>
            </w:tcBorders>
            <w:noWrap/>
            <w:tcMar>
              <w:top w:w="15" w:type="dxa"/>
              <w:left w:w="15" w:type="dxa"/>
              <w:right w:w="15" w:type="dxa"/>
            </w:tcMar>
            <w:vAlign w:val="center"/>
          </w:tcPr>
          <w:p w14:paraId="35ADDF1B">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47.3</w:t>
            </w:r>
          </w:p>
        </w:tc>
        <w:tc>
          <w:tcPr>
            <w:tcW w:w="996" w:type="dxa"/>
            <w:tcBorders>
              <w:top w:val="nil"/>
              <w:left w:val="nil"/>
              <w:bottom w:val="single" w:color="auto" w:sz="4" w:space="0"/>
              <w:right w:val="single" w:color="auto" w:sz="4" w:space="0"/>
            </w:tcBorders>
            <w:noWrap/>
            <w:tcMar>
              <w:top w:w="15" w:type="dxa"/>
              <w:left w:w="15" w:type="dxa"/>
              <w:right w:w="15" w:type="dxa"/>
            </w:tcMar>
            <w:vAlign w:val="center"/>
          </w:tcPr>
          <w:p w14:paraId="4899536E">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28.6</w:t>
            </w:r>
          </w:p>
        </w:tc>
        <w:tc>
          <w:tcPr>
            <w:tcW w:w="1191" w:type="dxa"/>
            <w:tcBorders>
              <w:top w:val="nil"/>
              <w:left w:val="nil"/>
              <w:bottom w:val="single" w:color="auto" w:sz="4" w:space="0"/>
              <w:right w:val="single" w:color="auto" w:sz="4" w:space="0"/>
            </w:tcBorders>
            <w:noWrap/>
            <w:tcMar>
              <w:top w:w="15" w:type="dxa"/>
              <w:left w:w="15" w:type="dxa"/>
              <w:right w:w="15" w:type="dxa"/>
            </w:tcMar>
            <w:vAlign w:val="center"/>
          </w:tcPr>
          <w:p w14:paraId="61B82692">
            <w:pPr>
              <w:widowControl/>
              <w:jc w:val="both"/>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61.6</w:t>
            </w:r>
          </w:p>
        </w:tc>
        <w:tc>
          <w:tcPr>
            <w:tcW w:w="1095" w:type="dxa"/>
            <w:tcBorders>
              <w:top w:val="nil"/>
              <w:left w:val="nil"/>
              <w:bottom w:val="single" w:color="auto" w:sz="4" w:space="0"/>
              <w:right w:val="single" w:color="auto" w:sz="4" w:space="0"/>
            </w:tcBorders>
            <w:noWrap/>
            <w:tcMar>
              <w:top w:w="15" w:type="dxa"/>
              <w:left w:w="15" w:type="dxa"/>
              <w:right w:w="15" w:type="dxa"/>
            </w:tcMar>
            <w:vAlign w:val="center"/>
          </w:tcPr>
          <w:p w14:paraId="7D4F3BA8">
            <w:pPr>
              <w:widowControl/>
              <w:jc w:val="both"/>
              <w:textAlignment w:val="center"/>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11.9</w:t>
            </w:r>
          </w:p>
        </w:tc>
      </w:tr>
    </w:tbl>
    <w:p w14:paraId="672A8CED">
      <w:pPr>
        <w:pStyle w:val="2"/>
        <w:keepNext/>
        <w:keepLines/>
        <w:pageBreakBefore w:val="0"/>
        <w:widowControl w:val="0"/>
        <w:kinsoku/>
        <w:wordWrap/>
        <w:overflowPunct/>
        <w:topLinePunct w:val="0"/>
        <w:autoSpaceDE/>
        <w:autoSpaceDN/>
        <w:bidi w:val="0"/>
        <w:adjustRightInd/>
        <w:snapToGrid/>
        <w:spacing w:line="400" w:lineRule="exact"/>
        <w:ind w:firstLine="0" w:firstLineChars="0"/>
        <w:textAlignment w:val="auto"/>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b/>
          <w:bCs/>
          <w:color w:val="000000"/>
          <w:sz w:val="32"/>
          <w:szCs w:val="32"/>
          <w:shd w:val="clear" w:color="auto" w:fill="FFFFFF"/>
        </w:rPr>
        <w:t>说明</w:t>
      </w:r>
      <w:r>
        <w:rPr>
          <w:rFonts w:hint="eastAsia" w:ascii="仿宋_GB2312" w:hAnsi="仿宋_GB2312" w:eastAsia="仿宋_GB2312" w:cs="仿宋_GB2312"/>
          <w:color w:val="000000"/>
          <w:sz w:val="32"/>
          <w:szCs w:val="32"/>
          <w:shd w:val="clear" w:color="auto" w:fill="FFFFFF"/>
        </w:rPr>
        <w:t>：增加值占比是三大门类占规上工业增加值比重；拉动力是三大门类增量对规上工业的拉动点</w:t>
      </w:r>
    </w:p>
    <w:p w14:paraId="069CD51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主要工业产品产量实现增长。</w:t>
      </w:r>
      <w:r>
        <w:rPr>
          <w:rFonts w:hint="eastAsia" w:ascii="仿宋_GB2312" w:hAnsi="仿宋_GB2312" w:eastAsia="仿宋_GB2312" w:cs="仿宋_GB2312"/>
          <w:b w:val="0"/>
          <w:bCs w:val="0"/>
          <w:color w:val="auto"/>
          <w:sz w:val="32"/>
          <w:szCs w:val="32"/>
          <w:lang w:val="en-US" w:eastAsia="zh-CN"/>
        </w:rPr>
        <w:t>六种主要工业产品产量三增两降。因受电网调控影响，火力发电量略微增长，较上年同期增长0.61亿千瓦时，同比增长8.1%；光伏发电量略微下降，较上年同期下降1.08亿千瓦时，降低25.2%，原煤产量有所下降，同比降低3.32万吨，降低1.8%；钾肥1031.04吨，同比增加621.84吨，增长152%。</w:t>
      </w:r>
    </w:p>
    <w:p w14:paraId="752EF12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一季度</w:t>
      </w:r>
      <w:r>
        <w:rPr>
          <w:rFonts w:hint="eastAsia" w:ascii="仿宋_GB2312" w:hAnsi="仿宋_GB2312" w:eastAsia="仿宋_GB2312" w:cs="仿宋_GB2312"/>
          <w:b/>
          <w:bCs/>
          <w:color w:val="auto"/>
          <w:sz w:val="32"/>
          <w:szCs w:val="32"/>
        </w:rPr>
        <w:t>全县规上工业企业产品产量表</w:t>
      </w:r>
    </w:p>
    <w:tbl>
      <w:tblPr>
        <w:tblStyle w:val="3"/>
        <w:tblpPr w:leftFromText="180" w:rightFromText="180" w:vertAnchor="text" w:horzAnchor="page" w:tblpX="1792" w:tblpY="321"/>
        <w:tblOverlap w:val="never"/>
        <w:tblW w:w="0" w:type="auto"/>
        <w:tblInd w:w="0" w:type="dxa"/>
        <w:tblLayout w:type="fixed"/>
        <w:tblCellMar>
          <w:top w:w="0" w:type="dxa"/>
          <w:left w:w="0" w:type="dxa"/>
          <w:bottom w:w="0" w:type="dxa"/>
          <w:right w:w="0" w:type="dxa"/>
        </w:tblCellMar>
      </w:tblPr>
      <w:tblGrid>
        <w:gridCol w:w="1867"/>
        <w:gridCol w:w="1305"/>
        <w:gridCol w:w="1590"/>
        <w:gridCol w:w="1553"/>
        <w:gridCol w:w="1140"/>
        <w:gridCol w:w="1140"/>
      </w:tblGrid>
      <w:tr w14:paraId="740A3016">
        <w:tblPrEx>
          <w:tblCellMar>
            <w:top w:w="0" w:type="dxa"/>
            <w:left w:w="0" w:type="dxa"/>
            <w:bottom w:w="0" w:type="dxa"/>
            <w:right w:w="0" w:type="dxa"/>
          </w:tblCellMar>
        </w:tblPrEx>
        <w:trPr>
          <w:trHeight w:val="721" w:hRule="atLeast"/>
        </w:trPr>
        <w:tc>
          <w:tcPr>
            <w:tcW w:w="186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E2C23B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产品名称</w:t>
            </w:r>
          </w:p>
        </w:tc>
        <w:tc>
          <w:tcPr>
            <w:tcW w:w="1305"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3F9D2B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计量单位</w:t>
            </w:r>
          </w:p>
        </w:tc>
        <w:tc>
          <w:tcPr>
            <w:tcW w:w="1590"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031F126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kern w:val="0"/>
                <w:sz w:val="24"/>
                <w:szCs w:val="24"/>
              </w:rPr>
              <w:t>2</w:t>
            </w:r>
            <w:r>
              <w:rPr>
                <w:rStyle w:val="7"/>
                <w:rFonts w:hint="eastAsia" w:ascii="仿宋_GB2312" w:hAnsi="仿宋_GB2312" w:eastAsia="仿宋_GB2312" w:cs="仿宋_GB2312"/>
                <w:b/>
                <w:bCs/>
                <w:color w:val="auto"/>
                <w:sz w:val="24"/>
                <w:szCs w:val="24"/>
              </w:rPr>
              <w:t>02</w:t>
            </w:r>
            <w:r>
              <w:rPr>
                <w:rStyle w:val="7"/>
                <w:rFonts w:hint="eastAsia" w:ascii="仿宋_GB2312" w:hAnsi="仿宋_GB2312" w:eastAsia="仿宋_GB2312" w:cs="仿宋_GB2312"/>
                <w:b/>
                <w:bCs/>
                <w:color w:val="auto"/>
                <w:sz w:val="24"/>
                <w:szCs w:val="24"/>
                <w:lang w:val="en-US" w:eastAsia="zh-CN"/>
              </w:rPr>
              <w:t>6</w:t>
            </w:r>
            <w:r>
              <w:rPr>
                <w:rStyle w:val="7"/>
                <w:rFonts w:hint="eastAsia" w:ascii="仿宋_GB2312" w:hAnsi="仿宋_GB2312" w:eastAsia="仿宋_GB2312" w:cs="仿宋_GB2312"/>
                <w:b/>
                <w:bCs/>
                <w:color w:val="auto"/>
                <w:sz w:val="24"/>
                <w:szCs w:val="24"/>
              </w:rPr>
              <w:t>年</w:t>
            </w:r>
            <w:r>
              <w:rPr>
                <w:rStyle w:val="7"/>
                <w:rFonts w:hint="eastAsia" w:ascii="仿宋_GB2312" w:hAnsi="仿宋_GB2312" w:eastAsia="仿宋_GB2312" w:cs="仿宋_GB2312"/>
                <w:b/>
                <w:bCs/>
                <w:color w:val="auto"/>
                <w:sz w:val="24"/>
                <w:szCs w:val="24"/>
                <w:lang w:eastAsia="zh-CN"/>
              </w:rPr>
              <w:t>一季度</w:t>
            </w:r>
          </w:p>
        </w:tc>
        <w:tc>
          <w:tcPr>
            <w:tcW w:w="1553"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64E92B7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lang w:eastAsia="zh-CN"/>
              </w:rPr>
            </w:pPr>
            <w:r>
              <w:rPr>
                <w:rFonts w:hint="eastAsia" w:ascii="仿宋_GB2312" w:hAnsi="仿宋_GB2312" w:eastAsia="仿宋_GB2312" w:cs="仿宋_GB2312"/>
                <w:b/>
                <w:bCs/>
                <w:color w:val="auto"/>
                <w:kern w:val="0"/>
                <w:sz w:val="24"/>
                <w:szCs w:val="24"/>
              </w:rPr>
              <w:t>2</w:t>
            </w:r>
            <w:r>
              <w:rPr>
                <w:rStyle w:val="7"/>
                <w:rFonts w:hint="eastAsia" w:ascii="仿宋_GB2312" w:hAnsi="仿宋_GB2312" w:eastAsia="仿宋_GB2312" w:cs="仿宋_GB2312"/>
                <w:b/>
                <w:bCs/>
                <w:color w:val="auto"/>
                <w:sz w:val="24"/>
                <w:szCs w:val="24"/>
              </w:rPr>
              <w:t>02</w:t>
            </w:r>
            <w:r>
              <w:rPr>
                <w:rStyle w:val="7"/>
                <w:rFonts w:hint="eastAsia" w:ascii="仿宋_GB2312" w:hAnsi="仿宋_GB2312" w:eastAsia="仿宋_GB2312" w:cs="仿宋_GB2312"/>
                <w:b/>
                <w:bCs/>
                <w:color w:val="auto"/>
                <w:sz w:val="24"/>
                <w:szCs w:val="24"/>
                <w:lang w:val="en-US" w:eastAsia="zh-CN"/>
              </w:rPr>
              <w:t>5</w:t>
            </w:r>
            <w:r>
              <w:rPr>
                <w:rStyle w:val="7"/>
                <w:rFonts w:hint="eastAsia" w:ascii="仿宋_GB2312" w:hAnsi="仿宋_GB2312" w:eastAsia="仿宋_GB2312" w:cs="仿宋_GB2312"/>
                <w:b/>
                <w:bCs/>
                <w:color w:val="auto"/>
                <w:sz w:val="24"/>
                <w:szCs w:val="24"/>
              </w:rPr>
              <w:t>年</w:t>
            </w:r>
            <w:r>
              <w:rPr>
                <w:rStyle w:val="7"/>
                <w:rFonts w:hint="eastAsia" w:ascii="仿宋_GB2312" w:hAnsi="仿宋_GB2312" w:eastAsia="仿宋_GB2312" w:cs="仿宋_GB2312"/>
                <w:b/>
                <w:bCs/>
                <w:color w:val="auto"/>
                <w:sz w:val="24"/>
                <w:szCs w:val="24"/>
                <w:lang w:eastAsia="zh-CN"/>
              </w:rPr>
              <w:t>一季度</w:t>
            </w:r>
          </w:p>
        </w:tc>
        <w:tc>
          <w:tcPr>
            <w:tcW w:w="1140"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5F808413">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增减量</w:t>
            </w:r>
          </w:p>
        </w:tc>
        <w:tc>
          <w:tcPr>
            <w:tcW w:w="1140"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47EC795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增速%</w:t>
            </w:r>
          </w:p>
        </w:tc>
      </w:tr>
      <w:tr w14:paraId="5DF4E828">
        <w:tblPrEx>
          <w:tblCellMar>
            <w:top w:w="0" w:type="dxa"/>
            <w:left w:w="0" w:type="dxa"/>
            <w:bottom w:w="0" w:type="dxa"/>
            <w:right w:w="0" w:type="dxa"/>
          </w:tblCellMar>
        </w:tblPrEx>
        <w:trPr>
          <w:trHeight w:val="454" w:hRule="exact"/>
        </w:trPr>
        <w:tc>
          <w:tcPr>
            <w:tcW w:w="1867"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2D3655C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发电量</w:t>
            </w:r>
          </w:p>
        </w:tc>
        <w:tc>
          <w:tcPr>
            <w:tcW w:w="1305"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0E2EC2D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亿千瓦时</w:t>
            </w:r>
          </w:p>
        </w:tc>
        <w:tc>
          <w:tcPr>
            <w:tcW w:w="1590" w:type="dxa"/>
            <w:tcBorders>
              <w:top w:val="nil"/>
              <w:left w:val="nil"/>
              <w:bottom w:val="single" w:color="auto" w:sz="4" w:space="0"/>
              <w:right w:val="single" w:color="auto" w:sz="4" w:space="0"/>
            </w:tcBorders>
            <w:noWrap/>
            <w:tcMar>
              <w:top w:w="15" w:type="dxa"/>
              <w:left w:w="15" w:type="dxa"/>
              <w:right w:w="15" w:type="dxa"/>
            </w:tcMar>
            <w:vAlign w:val="center"/>
          </w:tcPr>
          <w:p w14:paraId="047B6DB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11.22</w:t>
            </w:r>
          </w:p>
        </w:tc>
        <w:tc>
          <w:tcPr>
            <w:tcW w:w="1553" w:type="dxa"/>
            <w:tcBorders>
              <w:top w:val="nil"/>
              <w:left w:val="nil"/>
              <w:bottom w:val="single" w:color="auto" w:sz="4" w:space="0"/>
              <w:right w:val="single" w:color="auto" w:sz="4" w:space="0"/>
            </w:tcBorders>
            <w:noWrap/>
            <w:tcMar>
              <w:top w:w="15" w:type="dxa"/>
              <w:left w:w="15" w:type="dxa"/>
              <w:right w:w="15" w:type="dxa"/>
            </w:tcMar>
            <w:vAlign w:val="center"/>
          </w:tcPr>
          <w:p w14:paraId="2EBB546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11.69</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1DD7C28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－0.47</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0CE8C6E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－4.0</w:t>
            </w:r>
          </w:p>
        </w:tc>
      </w:tr>
      <w:tr w14:paraId="4E0241BE">
        <w:tblPrEx>
          <w:tblCellMar>
            <w:top w:w="0" w:type="dxa"/>
            <w:left w:w="0" w:type="dxa"/>
            <w:bottom w:w="0" w:type="dxa"/>
            <w:right w:w="0" w:type="dxa"/>
          </w:tblCellMar>
        </w:tblPrEx>
        <w:trPr>
          <w:trHeight w:val="470" w:hRule="exact"/>
        </w:trPr>
        <w:tc>
          <w:tcPr>
            <w:tcW w:w="1867"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0DBFB29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 xml:space="preserve">  </w:t>
            </w:r>
            <w:r>
              <w:rPr>
                <w:rFonts w:hint="eastAsia" w:ascii="仿宋_GB2312" w:hAnsi="仿宋_GB2312" w:eastAsia="仿宋_GB2312" w:cs="仿宋_GB2312"/>
                <w:b/>
                <w:bCs/>
                <w:color w:val="auto"/>
                <w:kern w:val="0"/>
                <w:sz w:val="24"/>
                <w:szCs w:val="24"/>
                <w:lang w:eastAsia="zh-CN"/>
              </w:rPr>
              <w:t>其中：</w:t>
            </w:r>
            <w:r>
              <w:rPr>
                <w:rFonts w:hint="eastAsia" w:ascii="仿宋_GB2312" w:hAnsi="仿宋_GB2312" w:eastAsia="仿宋_GB2312" w:cs="仿宋_GB2312"/>
                <w:b/>
                <w:bCs/>
                <w:color w:val="auto"/>
                <w:kern w:val="0"/>
                <w:sz w:val="24"/>
                <w:szCs w:val="24"/>
              </w:rPr>
              <w:t>火力发电</w:t>
            </w:r>
          </w:p>
        </w:tc>
        <w:tc>
          <w:tcPr>
            <w:tcW w:w="1305" w:type="dxa"/>
            <w:tcBorders>
              <w:top w:val="single" w:color="auto" w:sz="4" w:space="0"/>
              <w:left w:val="nil"/>
              <w:bottom w:val="single" w:color="auto" w:sz="4" w:space="0"/>
              <w:right w:val="single" w:color="auto" w:sz="4" w:space="0"/>
            </w:tcBorders>
            <w:noWrap/>
            <w:tcMar>
              <w:top w:w="15" w:type="dxa"/>
              <w:left w:w="15" w:type="dxa"/>
              <w:right w:w="15" w:type="dxa"/>
            </w:tcMar>
            <w:vAlign w:val="center"/>
          </w:tcPr>
          <w:p w14:paraId="3E29BDC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亿千瓦时</w:t>
            </w:r>
          </w:p>
        </w:tc>
        <w:tc>
          <w:tcPr>
            <w:tcW w:w="1590" w:type="dxa"/>
            <w:tcBorders>
              <w:top w:val="nil"/>
              <w:left w:val="nil"/>
              <w:bottom w:val="single" w:color="auto" w:sz="4" w:space="0"/>
              <w:right w:val="single" w:color="auto" w:sz="4" w:space="0"/>
            </w:tcBorders>
            <w:noWrap/>
            <w:tcMar>
              <w:top w:w="15" w:type="dxa"/>
              <w:left w:w="15" w:type="dxa"/>
              <w:right w:w="15" w:type="dxa"/>
            </w:tcMar>
            <w:vAlign w:val="center"/>
          </w:tcPr>
          <w:p w14:paraId="7C151EE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8.01</w:t>
            </w:r>
          </w:p>
        </w:tc>
        <w:tc>
          <w:tcPr>
            <w:tcW w:w="1553" w:type="dxa"/>
            <w:tcBorders>
              <w:top w:val="nil"/>
              <w:left w:val="nil"/>
              <w:bottom w:val="single" w:color="auto" w:sz="4" w:space="0"/>
              <w:right w:val="single" w:color="auto" w:sz="4" w:space="0"/>
            </w:tcBorders>
            <w:noWrap/>
            <w:tcMar>
              <w:top w:w="15" w:type="dxa"/>
              <w:left w:w="15" w:type="dxa"/>
              <w:right w:w="15" w:type="dxa"/>
            </w:tcMar>
            <w:vAlign w:val="center"/>
          </w:tcPr>
          <w:p w14:paraId="317D482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7.40</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5C4A024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0.61</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50D380A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8.1</w:t>
            </w:r>
          </w:p>
        </w:tc>
      </w:tr>
      <w:tr w14:paraId="6F5C9C3B">
        <w:tblPrEx>
          <w:tblCellMar>
            <w:top w:w="0" w:type="dxa"/>
            <w:left w:w="0" w:type="dxa"/>
            <w:bottom w:w="0" w:type="dxa"/>
            <w:right w:w="0" w:type="dxa"/>
          </w:tblCellMar>
        </w:tblPrEx>
        <w:trPr>
          <w:trHeight w:val="430" w:hRule="exact"/>
        </w:trPr>
        <w:tc>
          <w:tcPr>
            <w:tcW w:w="1867"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13F1C08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 xml:space="preserve">    </w:t>
            </w:r>
            <w:r>
              <w:rPr>
                <w:rFonts w:hint="eastAsia" w:ascii="仿宋_GB2312" w:hAnsi="仿宋_GB2312" w:eastAsia="仿宋_GB2312" w:cs="仿宋_GB2312"/>
                <w:b/>
                <w:bCs/>
                <w:color w:val="auto"/>
                <w:kern w:val="0"/>
                <w:sz w:val="24"/>
                <w:szCs w:val="24"/>
                <w:lang w:val="en-US" w:eastAsia="zh-CN"/>
              </w:rPr>
              <w:t xml:space="preserve">  </w:t>
            </w:r>
            <w:r>
              <w:rPr>
                <w:rFonts w:hint="eastAsia" w:ascii="仿宋_GB2312" w:hAnsi="仿宋_GB2312" w:eastAsia="仿宋_GB2312" w:cs="仿宋_GB2312"/>
                <w:b/>
                <w:bCs/>
                <w:color w:val="auto"/>
                <w:kern w:val="0"/>
                <w:sz w:val="24"/>
                <w:szCs w:val="24"/>
              </w:rPr>
              <w:t>光伏发电</w:t>
            </w:r>
          </w:p>
        </w:tc>
        <w:tc>
          <w:tcPr>
            <w:tcW w:w="1305" w:type="dxa"/>
            <w:tcBorders>
              <w:top w:val="nil"/>
              <w:left w:val="nil"/>
              <w:bottom w:val="single" w:color="auto" w:sz="4" w:space="0"/>
              <w:right w:val="single" w:color="auto" w:sz="4" w:space="0"/>
            </w:tcBorders>
            <w:noWrap/>
            <w:tcMar>
              <w:top w:w="15" w:type="dxa"/>
              <w:left w:w="15" w:type="dxa"/>
              <w:right w:w="15" w:type="dxa"/>
            </w:tcMar>
            <w:vAlign w:val="center"/>
          </w:tcPr>
          <w:p w14:paraId="0573FA0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亿千瓦时</w:t>
            </w:r>
          </w:p>
        </w:tc>
        <w:tc>
          <w:tcPr>
            <w:tcW w:w="1590" w:type="dxa"/>
            <w:tcBorders>
              <w:top w:val="nil"/>
              <w:left w:val="nil"/>
              <w:bottom w:val="single" w:color="auto" w:sz="4" w:space="0"/>
              <w:right w:val="single" w:color="auto" w:sz="4" w:space="0"/>
            </w:tcBorders>
            <w:noWrap/>
            <w:tcMar>
              <w:top w:w="15" w:type="dxa"/>
              <w:left w:w="15" w:type="dxa"/>
              <w:right w:w="15" w:type="dxa"/>
            </w:tcMar>
            <w:vAlign w:val="center"/>
          </w:tcPr>
          <w:p w14:paraId="1757832A">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3.21</w:t>
            </w:r>
          </w:p>
        </w:tc>
        <w:tc>
          <w:tcPr>
            <w:tcW w:w="1553" w:type="dxa"/>
            <w:tcBorders>
              <w:top w:val="nil"/>
              <w:left w:val="nil"/>
              <w:bottom w:val="single" w:color="auto" w:sz="4" w:space="0"/>
              <w:right w:val="single" w:color="auto" w:sz="4" w:space="0"/>
            </w:tcBorders>
            <w:noWrap/>
            <w:tcMar>
              <w:top w:w="15" w:type="dxa"/>
              <w:left w:w="15" w:type="dxa"/>
              <w:right w:w="15" w:type="dxa"/>
            </w:tcMar>
            <w:vAlign w:val="center"/>
          </w:tcPr>
          <w:p w14:paraId="0022540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4.29</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01AECE0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-1.08</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44F8EE4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-25.2</w:t>
            </w:r>
          </w:p>
        </w:tc>
      </w:tr>
      <w:tr w14:paraId="4A288253">
        <w:tblPrEx>
          <w:tblCellMar>
            <w:top w:w="0" w:type="dxa"/>
            <w:left w:w="0" w:type="dxa"/>
            <w:bottom w:w="0" w:type="dxa"/>
            <w:right w:w="0" w:type="dxa"/>
          </w:tblCellMar>
        </w:tblPrEx>
        <w:trPr>
          <w:trHeight w:val="432" w:hRule="exact"/>
        </w:trPr>
        <w:tc>
          <w:tcPr>
            <w:tcW w:w="1867"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27222E3F">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水泥</w:t>
            </w:r>
          </w:p>
        </w:tc>
        <w:tc>
          <w:tcPr>
            <w:tcW w:w="1305" w:type="dxa"/>
            <w:tcBorders>
              <w:top w:val="nil"/>
              <w:left w:val="nil"/>
              <w:bottom w:val="single" w:color="auto" w:sz="4" w:space="0"/>
              <w:right w:val="single" w:color="auto" w:sz="4" w:space="0"/>
            </w:tcBorders>
            <w:noWrap/>
            <w:tcMar>
              <w:top w:w="15" w:type="dxa"/>
              <w:left w:w="15" w:type="dxa"/>
              <w:right w:w="15" w:type="dxa"/>
            </w:tcMar>
            <w:vAlign w:val="center"/>
          </w:tcPr>
          <w:p w14:paraId="4D1F75C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万吨</w:t>
            </w:r>
          </w:p>
        </w:tc>
        <w:tc>
          <w:tcPr>
            <w:tcW w:w="1590" w:type="dxa"/>
            <w:tcBorders>
              <w:top w:val="nil"/>
              <w:left w:val="nil"/>
              <w:bottom w:val="single" w:color="auto" w:sz="4" w:space="0"/>
              <w:right w:val="single" w:color="auto" w:sz="4" w:space="0"/>
            </w:tcBorders>
            <w:noWrap/>
            <w:tcMar>
              <w:top w:w="15" w:type="dxa"/>
              <w:left w:w="15" w:type="dxa"/>
              <w:right w:w="15" w:type="dxa"/>
            </w:tcMar>
            <w:vAlign w:val="center"/>
          </w:tcPr>
          <w:p w14:paraId="0599FC9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c>
          <w:tcPr>
            <w:tcW w:w="1553" w:type="dxa"/>
            <w:tcBorders>
              <w:top w:val="nil"/>
              <w:left w:val="nil"/>
              <w:bottom w:val="single" w:color="auto" w:sz="4" w:space="0"/>
              <w:right w:val="single" w:color="auto" w:sz="4" w:space="0"/>
            </w:tcBorders>
            <w:noWrap/>
            <w:tcMar>
              <w:top w:w="15" w:type="dxa"/>
              <w:left w:w="15" w:type="dxa"/>
              <w:right w:w="15" w:type="dxa"/>
            </w:tcMar>
            <w:vAlign w:val="center"/>
          </w:tcPr>
          <w:p w14:paraId="1EB1EE4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34F7560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53B6CE0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w:t>
            </w:r>
          </w:p>
        </w:tc>
      </w:tr>
      <w:tr w14:paraId="38881420">
        <w:tblPrEx>
          <w:tblCellMar>
            <w:top w:w="0" w:type="dxa"/>
            <w:left w:w="0" w:type="dxa"/>
            <w:bottom w:w="0" w:type="dxa"/>
            <w:right w:w="0" w:type="dxa"/>
          </w:tblCellMar>
        </w:tblPrEx>
        <w:trPr>
          <w:trHeight w:val="472" w:hRule="exact"/>
        </w:trPr>
        <w:tc>
          <w:tcPr>
            <w:tcW w:w="1867"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48CD451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原盐</w:t>
            </w:r>
          </w:p>
        </w:tc>
        <w:tc>
          <w:tcPr>
            <w:tcW w:w="1305" w:type="dxa"/>
            <w:tcBorders>
              <w:top w:val="nil"/>
              <w:left w:val="nil"/>
              <w:bottom w:val="single" w:color="auto" w:sz="4" w:space="0"/>
              <w:right w:val="single" w:color="auto" w:sz="4" w:space="0"/>
            </w:tcBorders>
            <w:noWrap/>
            <w:tcMar>
              <w:top w:w="15" w:type="dxa"/>
              <w:left w:w="15" w:type="dxa"/>
              <w:right w:w="15" w:type="dxa"/>
            </w:tcMar>
            <w:vAlign w:val="center"/>
          </w:tcPr>
          <w:p w14:paraId="1FE08DBC">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万吨</w:t>
            </w:r>
          </w:p>
        </w:tc>
        <w:tc>
          <w:tcPr>
            <w:tcW w:w="1590" w:type="dxa"/>
            <w:tcBorders>
              <w:top w:val="nil"/>
              <w:left w:val="nil"/>
              <w:bottom w:val="single" w:color="auto" w:sz="4" w:space="0"/>
              <w:right w:val="single" w:color="auto" w:sz="4" w:space="0"/>
            </w:tcBorders>
            <w:noWrap/>
            <w:tcMar>
              <w:top w:w="15" w:type="dxa"/>
              <w:left w:w="15" w:type="dxa"/>
              <w:right w:w="15" w:type="dxa"/>
            </w:tcMar>
            <w:vAlign w:val="center"/>
          </w:tcPr>
          <w:p w14:paraId="59AB8E0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75.84 </w:t>
            </w:r>
          </w:p>
        </w:tc>
        <w:tc>
          <w:tcPr>
            <w:tcW w:w="1553" w:type="dxa"/>
            <w:tcBorders>
              <w:top w:val="nil"/>
              <w:left w:val="nil"/>
              <w:bottom w:val="single" w:color="auto" w:sz="4" w:space="0"/>
              <w:right w:val="single" w:color="auto" w:sz="4" w:space="0"/>
            </w:tcBorders>
            <w:noWrap/>
            <w:tcMar>
              <w:top w:w="15" w:type="dxa"/>
              <w:left w:w="15" w:type="dxa"/>
              <w:right w:w="15" w:type="dxa"/>
            </w:tcMar>
            <w:vAlign w:val="center"/>
          </w:tcPr>
          <w:p w14:paraId="0EB10584">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52.50</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74C7D3F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23.34</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4A32C24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44.5</w:t>
            </w:r>
          </w:p>
        </w:tc>
      </w:tr>
      <w:tr w14:paraId="489EA40F">
        <w:tblPrEx>
          <w:tblCellMar>
            <w:top w:w="0" w:type="dxa"/>
            <w:left w:w="0" w:type="dxa"/>
            <w:bottom w:w="0" w:type="dxa"/>
            <w:right w:w="0" w:type="dxa"/>
          </w:tblCellMar>
        </w:tblPrEx>
        <w:trPr>
          <w:trHeight w:val="488" w:hRule="exact"/>
        </w:trPr>
        <w:tc>
          <w:tcPr>
            <w:tcW w:w="1867"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270C4DEB">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原煤</w:t>
            </w:r>
          </w:p>
        </w:tc>
        <w:tc>
          <w:tcPr>
            <w:tcW w:w="1305" w:type="dxa"/>
            <w:tcBorders>
              <w:top w:val="nil"/>
              <w:left w:val="nil"/>
              <w:bottom w:val="single" w:color="auto" w:sz="4" w:space="0"/>
              <w:right w:val="single" w:color="auto" w:sz="4" w:space="0"/>
            </w:tcBorders>
            <w:noWrap/>
            <w:tcMar>
              <w:top w:w="15" w:type="dxa"/>
              <w:left w:w="15" w:type="dxa"/>
              <w:right w:w="15" w:type="dxa"/>
            </w:tcMar>
            <w:vAlign w:val="center"/>
          </w:tcPr>
          <w:p w14:paraId="20C0A767">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万吨</w:t>
            </w:r>
          </w:p>
        </w:tc>
        <w:tc>
          <w:tcPr>
            <w:tcW w:w="1590" w:type="dxa"/>
            <w:tcBorders>
              <w:top w:val="nil"/>
              <w:left w:val="nil"/>
              <w:bottom w:val="single" w:color="auto" w:sz="4" w:space="0"/>
              <w:right w:val="single" w:color="auto" w:sz="4" w:space="0"/>
            </w:tcBorders>
            <w:noWrap/>
            <w:tcMar>
              <w:top w:w="15" w:type="dxa"/>
              <w:left w:w="15" w:type="dxa"/>
              <w:right w:w="15" w:type="dxa"/>
            </w:tcMar>
            <w:vAlign w:val="center"/>
          </w:tcPr>
          <w:p w14:paraId="155F5FD0">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186.26</w:t>
            </w:r>
          </w:p>
        </w:tc>
        <w:tc>
          <w:tcPr>
            <w:tcW w:w="1553" w:type="dxa"/>
            <w:tcBorders>
              <w:top w:val="nil"/>
              <w:left w:val="nil"/>
              <w:bottom w:val="single" w:color="auto" w:sz="4" w:space="0"/>
              <w:right w:val="single" w:color="auto" w:sz="4" w:space="0"/>
            </w:tcBorders>
            <w:noWrap/>
            <w:tcMar>
              <w:top w:w="15" w:type="dxa"/>
              <w:left w:w="15" w:type="dxa"/>
              <w:right w:w="15" w:type="dxa"/>
            </w:tcMar>
            <w:vAlign w:val="center"/>
          </w:tcPr>
          <w:p w14:paraId="37A59C7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189.58</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2397A4C9">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-3.32</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46A5841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-1.8</w:t>
            </w:r>
          </w:p>
        </w:tc>
      </w:tr>
      <w:tr w14:paraId="4F69823E">
        <w:tblPrEx>
          <w:tblCellMar>
            <w:top w:w="0" w:type="dxa"/>
            <w:left w:w="0" w:type="dxa"/>
            <w:bottom w:w="0" w:type="dxa"/>
            <w:right w:w="0" w:type="dxa"/>
          </w:tblCellMar>
        </w:tblPrEx>
        <w:trPr>
          <w:trHeight w:val="475" w:hRule="exact"/>
        </w:trPr>
        <w:tc>
          <w:tcPr>
            <w:tcW w:w="1867" w:type="dxa"/>
            <w:tcBorders>
              <w:top w:val="nil"/>
              <w:left w:val="single" w:color="auto" w:sz="4" w:space="0"/>
              <w:bottom w:val="single" w:color="auto" w:sz="4" w:space="0"/>
              <w:right w:val="single" w:color="auto" w:sz="4" w:space="0"/>
            </w:tcBorders>
            <w:noWrap/>
            <w:tcMar>
              <w:top w:w="15" w:type="dxa"/>
              <w:left w:w="15" w:type="dxa"/>
              <w:right w:w="15" w:type="dxa"/>
            </w:tcMar>
            <w:vAlign w:val="center"/>
          </w:tcPr>
          <w:p w14:paraId="5C825C2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钾肥</w:t>
            </w:r>
          </w:p>
        </w:tc>
        <w:tc>
          <w:tcPr>
            <w:tcW w:w="1305" w:type="dxa"/>
            <w:tcBorders>
              <w:top w:val="nil"/>
              <w:left w:val="nil"/>
              <w:bottom w:val="single" w:color="auto" w:sz="4" w:space="0"/>
              <w:right w:val="single" w:color="auto" w:sz="4" w:space="0"/>
            </w:tcBorders>
            <w:noWrap/>
            <w:tcMar>
              <w:top w:w="15" w:type="dxa"/>
              <w:left w:w="15" w:type="dxa"/>
              <w:right w:w="15" w:type="dxa"/>
            </w:tcMar>
            <w:vAlign w:val="center"/>
          </w:tcPr>
          <w:p w14:paraId="3B720AA1">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吨</w:t>
            </w:r>
          </w:p>
        </w:tc>
        <w:tc>
          <w:tcPr>
            <w:tcW w:w="1590" w:type="dxa"/>
            <w:tcBorders>
              <w:top w:val="nil"/>
              <w:left w:val="nil"/>
              <w:bottom w:val="single" w:color="auto" w:sz="4" w:space="0"/>
              <w:right w:val="single" w:color="auto" w:sz="4" w:space="0"/>
            </w:tcBorders>
            <w:noWrap/>
            <w:tcMar>
              <w:top w:w="15" w:type="dxa"/>
              <w:left w:w="15" w:type="dxa"/>
              <w:right w:w="15" w:type="dxa"/>
            </w:tcMar>
            <w:vAlign w:val="center"/>
          </w:tcPr>
          <w:p w14:paraId="5FAA8908">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1031.04</w:t>
            </w:r>
          </w:p>
        </w:tc>
        <w:tc>
          <w:tcPr>
            <w:tcW w:w="1553" w:type="dxa"/>
            <w:tcBorders>
              <w:top w:val="nil"/>
              <w:left w:val="nil"/>
              <w:bottom w:val="single" w:color="auto" w:sz="4" w:space="0"/>
              <w:right w:val="single" w:color="auto" w:sz="4" w:space="0"/>
            </w:tcBorders>
            <w:noWrap/>
            <w:tcMar>
              <w:top w:w="15" w:type="dxa"/>
              <w:left w:w="15" w:type="dxa"/>
              <w:right w:w="15" w:type="dxa"/>
            </w:tcMar>
            <w:vAlign w:val="center"/>
          </w:tcPr>
          <w:p w14:paraId="4F1984E5">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409.2</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480D65ED">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621.84</w:t>
            </w:r>
          </w:p>
        </w:tc>
        <w:tc>
          <w:tcPr>
            <w:tcW w:w="1140" w:type="dxa"/>
            <w:tcBorders>
              <w:top w:val="nil"/>
              <w:left w:val="nil"/>
              <w:bottom w:val="single" w:color="auto" w:sz="4" w:space="0"/>
              <w:right w:val="single" w:color="auto" w:sz="4" w:space="0"/>
            </w:tcBorders>
            <w:noWrap/>
            <w:tcMar>
              <w:top w:w="15" w:type="dxa"/>
              <w:left w:w="15" w:type="dxa"/>
              <w:right w:w="15" w:type="dxa"/>
            </w:tcMar>
            <w:vAlign w:val="center"/>
          </w:tcPr>
          <w:p w14:paraId="5D88138E">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152.0</w:t>
            </w:r>
          </w:p>
        </w:tc>
      </w:tr>
    </w:tbl>
    <w:p w14:paraId="58BBF8A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建筑业增加值呈下降趋势。</w:t>
      </w:r>
      <w:r>
        <w:rPr>
          <w:rFonts w:hint="eastAsia" w:ascii="仿宋_GB2312" w:hAnsi="仿宋_GB2312" w:eastAsia="仿宋_GB2312" w:cs="仿宋_GB2312"/>
          <w:b w:val="0"/>
          <w:bCs w:val="0"/>
          <w:sz w:val="32"/>
          <w:szCs w:val="32"/>
          <w:lang w:val="en-US" w:eastAsia="zh-CN"/>
        </w:rPr>
        <w:t>全县完成固定资产投资</w:t>
      </w:r>
      <w:r>
        <w:rPr>
          <w:rFonts w:hint="eastAsia" w:ascii="仿宋_GB2312" w:hAnsi="宋体" w:eastAsia="仿宋_GB2312"/>
          <w:b w:val="0"/>
          <w:bCs w:val="0"/>
          <w:sz w:val="32"/>
          <w:szCs w:val="32"/>
          <w:lang w:val="en-US" w:eastAsia="zh-CN"/>
        </w:rPr>
        <w:t>4.45</w:t>
      </w:r>
      <w:r>
        <w:rPr>
          <w:rFonts w:hint="eastAsia" w:ascii="仿宋_GB2312" w:hAnsi="宋体" w:eastAsia="仿宋_GB2312"/>
          <w:b w:val="0"/>
          <w:bCs w:val="0"/>
          <w:sz w:val="32"/>
          <w:szCs w:val="32"/>
          <w:lang w:val="zh-CN"/>
        </w:rPr>
        <w:t>亿元，</w:t>
      </w:r>
      <w:r>
        <w:rPr>
          <w:rFonts w:hint="eastAsia" w:ascii="仿宋_GB2312" w:hAnsi="宋体" w:eastAsia="仿宋_GB2312"/>
          <w:b w:val="0"/>
          <w:bCs w:val="0"/>
          <w:sz w:val="32"/>
          <w:szCs w:val="32"/>
          <w:lang w:val="en-US" w:eastAsia="zh-CN"/>
        </w:rPr>
        <w:t>同比增长67.1</w:t>
      </w:r>
      <w:r>
        <w:rPr>
          <w:rFonts w:hint="eastAsia" w:ascii="仿宋_GB2312" w:hAnsi="仿宋_GB2312" w:eastAsia="仿宋_GB2312"/>
          <w:b w:val="0"/>
          <w:bCs w:val="0"/>
          <w:color w:val="auto"/>
          <w:sz w:val="32"/>
          <w:szCs w:val="24"/>
          <w:lang w:val="zh-CN"/>
        </w:rPr>
        <w:t>%，</w:t>
      </w:r>
      <w:r>
        <w:rPr>
          <w:rFonts w:hint="eastAsia" w:ascii="仿宋_GB2312" w:hAnsi="仿宋_GB2312" w:eastAsia="仿宋_GB2312" w:cs="仿宋_GB2312"/>
          <w:b w:val="0"/>
          <w:bCs w:val="0"/>
          <w:sz w:val="32"/>
          <w:szCs w:val="32"/>
          <w:lang w:val="en-US" w:eastAsia="zh-CN"/>
        </w:rPr>
        <w:t>固定资产投资中</w:t>
      </w:r>
      <w:r>
        <w:rPr>
          <w:rFonts w:hint="eastAsia" w:ascii="仿宋_GB2312" w:hAnsi="仿宋_GB2312" w:eastAsia="仿宋_GB2312"/>
          <w:b w:val="0"/>
          <w:bCs/>
          <w:color w:val="auto"/>
          <w:sz w:val="32"/>
          <w:szCs w:val="24"/>
          <w:highlight w:val="none"/>
          <w:lang w:val="en-US" w:eastAsia="zh-CN"/>
        </w:rPr>
        <w:t>建筑安装工程投资0.8亿元，同比下降64.8%，因建筑业的评估方法调整为当期总专包企业在地总产值增速依据各地区建筑企业疆内完成产值增速、全疆外省建筑企业疆内完成产值增速，并结合各地区建筑企业疆内完成产值占本地区建筑安装工程投资额的比重，综合评估确定后，</w:t>
      </w:r>
      <w:r>
        <w:rPr>
          <w:rFonts w:hint="eastAsia" w:ascii="仿宋_GB2312" w:hAnsi="仿宋_GB2312" w:eastAsia="仿宋_GB2312" w:cs="仿宋_GB2312"/>
          <w:b w:val="0"/>
          <w:bCs w:val="0"/>
          <w:sz w:val="32"/>
          <w:szCs w:val="32"/>
          <w:lang w:val="en-US" w:eastAsia="zh-CN"/>
        </w:rPr>
        <w:t>一季度完成建筑业增加值4419万元，同比下降10.5%。一季度，建筑业企业完成产值420万元，</w:t>
      </w:r>
      <w:r>
        <w:rPr>
          <w:rFonts w:hint="eastAsia" w:ascii="仿宋_GB2312" w:hAnsi="仿宋_GB2312" w:eastAsia="仿宋_GB2312" w:cs="仿宋_GB2312"/>
          <w:sz w:val="32"/>
          <w:szCs w:val="32"/>
          <w:lang w:val="en-US" w:eastAsia="zh-CN"/>
        </w:rPr>
        <w:t>同比增长22%。</w:t>
      </w:r>
    </w:p>
    <w:p w14:paraId="64AAE61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(三）各项服务业略有波动</w:t>
      </w:r>
    </w:p>
    <w:p w14:paraId="7E3AC2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highlight w:val="none"/>
          <w:lang w:val="en-US" w:eastAsia="zh-CN"/>
        </w:rPr>
        <w:t>受商品销售额增幅较好的影响，</w:t>
      </w:r>
      <w:r>
        <w:rPr>
          <w:rFonts w:hint="eastAsia" w:ascii="仿宋_GB2312" w:hAnsi="仿宋_GB2312" w:eastAsia="仿宋_GB2312" w:cs="仿宋_GB2312"/>
          <w:b w:val="0"/>
          <w:bCs w:val="0"/>
          <w:sz w:val="32"/>
          <w:szCs w:val="32"/>
          <w:lang w:val="en-US" w:eastAsia="zh-CN"/>
        </w:rPr>
        <w:t>批发零售业完成增加值2021万元，同比增长19.6%；住宿餐饮业实现增加值58万元，同比增长0.2%，因总量较小，对生产总值没有产生拉动作用；受铁路、公路客货周转量和装卸搬运和仓储业营业收入的影响，全县交通运输、仓储和邮政业实现增加值3516万元，同比下降4.4%；金融业实现小幅增长，全县金融业增加值3235万元，同比增长2%；房地产业增加值7415万元，同比增长3%；其他服务业增加值3.82亿元，同比下降3%。</w:t>
      </w:r>
    </w:p>
    <w:p w14:paraId="433E9DC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（四）社会消费品零售总额</w:t>
      </w:r>
    </w:p>
    <w:p w14:paraId="495F11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color w:val="000000"/>
          <w:sz w:val="32"/>
          <w:szCs w:val="32"/>
        </w:rPr>
      </w:pPr>
      <w:r>
        <w:rPr>
          <w:rFonts w:hint="eastAsia" w:ascii="仿宋_GB2312" w:hAnsi="仿宋_GB2312" w:eastAsia="仿宋_GB2312" w:cs="仿宋_GB2312"/>
          <w:sz w:val="32"/>
          <w:szCs w:val="32"/>
          <w:lang w:val="en-US" w:eastAsia="zh-CN"/>
        </w:rPr>
        <w:t>一季度，全县实现社会消费品零售总额4775.8万元，同比增长7%，按行业分，批发业零售额1265.6万元，增长21.3%，零售业零售额2405万元，增长5.3%，住宿业零售额326.9万元，下降4.6%，餐饮业零售额778.3万元，下降1.9%。全县16家限额以上企业（大个体）完成社零总额2384.4万元，同比增长13.2%。</w:t>
      </w:r>
    </w:p>
    <w:p w14:paraId="06CC42EC">
      <w:pPr>
        <w:pStyle w:val="2"/>
        <w:ind w:firstLine="1606" w:firstLineChars="500"/>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一季度全县社会消费品零售总额完成情况</w:t>
      </w:r>
    </w:p>
    <w:p w14:paraId="64DD6E55">
      <w:pPr>
        <w:spacing w:line="40" w:lineRule="exact"/>
        <w:ind w:firstLine="640" w:firstLineChars="200"/>
        <w:rPr>
          <w:rFonts w:ascii="黑体" w:hAnsi="黑体" w:eastAsia="黑体" w:cs="黑体"/>
          <w:color w:val="000000"/>
          <w:sz w:val="32"/>
          <w:szCs w:val="32"/>
        </w:rPr>
      </w:pPr>
    </w:p>
    <w:tbl>
      <w:tblPr>
        <w:tblStyle w:val="3"/>
        <w:tblW w:w="0" w:type="auto"/>
        <w:tblInd w:w="0" w:type="dxa"/>
        <w:tblLayout w:type="fixed"/>
        <w:tblCellMar>
          <w:top w:w="0" w:type="dxa"/>
          <w:left w:w="0" w:type="dxa"/>
          <w:bottom w:w="0" w:type="dxa"/>
          <w:right w:w="0" w:type="dxa"/>
        </w:tblCellMar>
      </w:tblPr>
      <w:tblGrid>
        <w:gridCol w:w="1200"/>
        <w:gridCol w:w="1005"/>
        <w:gridCol w:w="735"/>
        <w:gridCol w:w="735"/>
        <w:gridCol w:w="615"/>
        <w:gridCol w:w="720"/>
        <w:gridCol w:w="600"/>
        <w:gridCol w:w="675"/>
        <w:gridCol w:w="735"/>
        <w:gridCol w:w="735"/>
        <w:gridCol w:w="624"/>
      </w:tblGrid>
      <w:tr w14:paraId="1ABDCD0A">
        <w:tblPrEx>
          <w:tblCellMar>
            <w:top w:w="0" w:type="dxa"/>
            <w:left w:w="0" w:type="dxa"/>
            <w:bottom w:w="0" w:type="dxa"/>
            <w:right w:w="0" w:type="dxa"/>
          </w:tblCellMar>
        </w:tblPrEx>
        <w:trPr>
          <w:trHeight w:val="1200" w:hRule="atLeast"/>
        </w:trPr>
        <w:tc>
          <w:tcPr>
            <w:tcW w:w="1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D052A3">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名称</w:t>
            </w:r>
          </w:p>
        </w:tc>
        <w:tc>
          <w:tcPr>
            <w:tcW w:w="100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5F1E87A4">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社会消费品零售总额（万元）</w:t>
            </w:r>
          </w:p>
        </w:tc>
        <w:tc>
          <w:tcPr>
            <w:tcW w:w="73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718A999B">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增速%</w:t>
            </w:r>
          </w:p>
        </w:tc>
        <w:tc>
          <w:tcPr>
            <w:tcW w:w="73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3FE166BF">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批发业零售额（万元）</w:t>
            </w:r>
          </w:p>
        </w:tc>
        <w:tc>
          <w:tcPr>
            <w:tcW w:w="61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45165CA9">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增速%</w:t>
            </w:r>
          </w:p>
        </w:tc>
        <w:tc>
          <w:tcPr>
            <w:tcW w:w="72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7794107F">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零售业零售额（万元）</w:t>
            </w:r>
          </w:p>
        </w:tc>
        <w:tc>
          <w:tcPr>
            <w:tcW w:w="600"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11C518BB">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增速%</w:t>
            </w:r>
          </w:p>
        </w:tc>
        <w:tc>
          <w:tcPr>
            <w:tcW w:w="67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272BFD1A">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住宿业零售额（万元）</w:t>
            </w:r>
          </w:p>
        </w:tc>
        <w:tc>
          <w:tcPr>
            <w:tcW w:w="73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1630A861">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增速%</w:t>
            </w:r>
          </w:p>
        </w:tc>
        <w:tc>
          <w:tcPr>
            <w:tcW w:w="735"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0CF1D89F">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餐饮业零售额（万元）</w:t>
            </w:r>
          </w:p>
        </w:tc>
        <w:tc>
          <w:tcPr>
            <w:tcW w:w="624" w:type="dxa"/>
            <w:tcBorders>
              <w:top w:val="single" w:color="auto" w:sz="4" w:space="0"/>
              <w:left w:val="nil"/>
              <w:bottom w:val="single" w:color="auto" w:sz="4" w:space="0"/>
              <w:right w:val="single" w:color="auto" w:sz="4" w:space="0"/>
            </w:tcBorders>
            <w:noWrap w:val="0"/>
            <w:tcMar>
              <w:top w:w="15" w:type="dxa"/>
              <w:left w:w="15" w:type="dxa"/>
              <w:right w:w="15" w:type="dxa"/>
            </w:tcMar>
            <w:vAlign w:val="center"/>
          </w:tcPr>
          <w:p w14:paraId="5DD5C52C">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增速%</w:t>
            </w:r>
          </w:p>
        </w:tc>
      </w:tr>
      <w:tr w14:paraId="373527BD">
        <w:tblPrEx>
          <w:tblCellMar>
            <w:top w:w="0" w:type="dxa"/>
            <w:left w:w="0" w:type="dxa"/>
            <w:bottom w:w="0" w:type="dxa"/>
            <w:right w:w="0" w:type="dxa"/>
          </w:tblCellMar>
        </w:tblPrEx>
        <w:trPr>
          <w:trHeight w:val="825" w:hRule="atLeast"/>
        </w:trPr>
        <w:tc>
          <w:tcPr>
            <w:tcW w:w="1200"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767361A6">
            <w:pPr>
              <w:keepNext w:val="0"/>
              <w:keepLines w:val="0"/>
              <w:widowControl/>
              <w:suppressLineNumbers w:val="0"/>
              <w:jc w:val="center"/>
              <w:textAlignment w:val="center"/>
              <w:rPr>
                <w:rFonts w:hint="eastAsia" w:ascii="仿宋_GB2312" w:hAnsi="仿宋_GB2312" w:eastAsia="仿宋_GB2312" w:cs="仿宋_GB2312"/>
                <w:b/>
                <w:color w:val="000000"/>
                <w:sz w:val="24"/>
                <w:szCs w:val="24"/>
              </w:rPr>
            </w:pPr>
            <w:r>
              <w:rPr>
                <w:rFonts w:hint="eastAsia" w:ascii="仿宋_GB2312" w:hAnsi="仿宋_GB2312" w:eastAsia="仿宋_GB2312" w:cs="仿宋_GB2312"/>
                <w:b/>
                <w:bCs/>
                <w:i w:val="0"/>
                <w:iCs w:val="0"/>
                <w:color w:val="000000"/>
                <w:kern w:val="0"/>
                <w:sz w:val="24"/>
                <w:szCs w:val="24"/>
                <w:u w:val="none"/>
                <w:lang w:val="en-US" w:eastAsia="zh-CN" w:bidi="ar"/>
              </w:rPr>
              <w:t>全口径</w:t>
            </w:r>
          </w:p>
        </w:tc>
        <w:tc>
          <w:tcPr>
            <w:tcW w:w="1005" w:type="dxa"/>
            <w:tcBorders>
              <w:top w:val="nil"/>
              <w:left w:val="nil"/>
              <w:bottom w:val="single" w:color="auto" w:sz="4" w:space="0"/>
              <w:right w:val="single" w:color="auto" w:sz="4" w:space="0"/>
            </w:tcBorders>
            <w:noWrap w:val="0"/>
            <w:tcMar>
              <w:top w:w="15" w:type="dxa"/>
              <w:left w:w="15" w:type="dxa"/>
              <w:right w:w="15" w:type="dxa"/>
            </w:tcMar>
            <w:vAlign w:val="center"/>
          </w:tcPr>
          <w:p w14:paraId="533AF34D">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4775.8</w:t>
            </w:r>
          </w:p>
        </w:tc>
        <w:tc>
          <w:tcPr>
            <w:tcW w:w="735" w:type="dxa"/>
            <w:tcBorders>
              <w:top w:val="nil"/>
              <w:left w:val="nil"/>
              <w:bottom w:val="single" w:color="auto" w:sz="4" w:space="0"/>
              <w:right w:val="single" w:color="auto" w:sz="4" w:space="0"/>
            </w:tcBorders>
            <w:noWrap w:val="0"/>
            <w:tcMar>
              <w:top w:w="15" w:type="dxa"/>
              <w:left w:w="15" w:type="dxa"/>
              <w:right w:w="15" w:type="dxa"/>
            </w:tcMar>
            <w:vAlign w:val="center"/>
          </w:tcPr>
          <w:p w14:paraId="5D5A0076">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7</w:t>
            </w:r>
          </w:p>
        </w:tc>
        <w:tc>
          <w:tcPr>
            <w:tcW w:w="735" w:type="dxa"/>
            <w:tcBorders>
              <w:top w:val="nil"/>
              <w:left w:val="nil"/>
              <w:bottom w:val="single" w:color="auto" w:sz="4" w:space="0"/>
              <w:right w:val="single" w:color="auto" w:sz="4" w:space="0"/>
            </w:tcBorders>
            <w:noWrap w:val="0"/>
            <w:tcMar>
              <w:top w:w="15" w:type="dxa"/>
              <w:left w:w="15" w:type="dxa"/>
              <w:right w:w="15" w:type="dxa"/>
            </w:tcMar>
            <w:vAlign w:val="center"/>
          </w:tcPr>
          <w:p w14:paraId="50DF0F17">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1265.6</w:t>
            </w:r>
          </w:p>
        </w:tc>
        <w:tc>
          <w:tcPr>
            <w:tcW w:w="615" w:type="dxa"/>
            <w:tcBorders>
              <w:top w:val="nil"/>
              <w:left w:val="nil"/>
              <w:bottom w:val="single" w:color="auto" w:sz="4" w:space="0"/>
              <w:right w:val="single" w:color="auto" w:sz="4" w:space="0"/>
            </w:tcBorders>
            <w:noWrap w:val="0"/>
            <w:tcMar>
              <w:top w:w="15" w:type="dxa"/>
              <w:left w:w="15" w:type="dxa"/>
              <w:right w:w="15" w:type="dxa"/>
            </w:tcMar>
            <w:vAlign w:val="center"/>
          </w:tcPr>
          <w:p w14:paraId="7B2BEE05">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21.3</w:t>
            </w:r>
          </w:p>
        </w:tc>
        <w:tc>
          <w:tcPr>
            <w:tcW w:w="720" w:type="dxa"/>
            <w:tcBorders>
              <w:top w:val="nil"/>
              <w:left w:val="nil"/>
              <w:bottom w:val="single" w:color="auto" w:sz="4" w:space="0"/>
              <w:right w:val="single" w:color="auto" w:sz="4" w:space="0"/>
            </w:tcBorders>
            <w:noWrap w:val="0"/>
            <w:tcMar>
              <w:top w:w="15" w:type="dxa"/>
              <w:left w:w="15" w:type="dxa"/>
              <w:right w:w="15" w:type="dxa"/>
            </w:tcMar>
            <w:vAlign w:val="center"/>
          </w:tcPr>
          <w:p w14:paraId="57E0C2E4">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2405</w:t>
            </w:r>
          </w:p>
        </w:tc>
        <w:tc>
          <w:tcPr>
            <w:tcW w:w="600" w:type="dxa"/>
            <w:tcBorders>
              <w:top w:val="nil"/>
              <w:left w:val="nil"/>
              <w:bottom w:val="single" w:color="auto" w:sz="4" w:space="0"/>
              <w:right w:val="single" w:color="auto" w:sz="4" w:space="0"/>
            </w:tcBorders>
            <w:noWrap w:val="0"/>
            <w:tcMar>
              <w:top w:w="15" w:type="dxa"/>
              <w:left w:w="15" w:type="dxa"/>
              <w:right w:w="15" w:type="dxa"/>
            </w:tcMar>
            <w:vAlign w:val="center"/>
          </w:tcPr>
          <w:p w14:paraId="4DFE6F6A">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5.3</w:t>
            </w:r>
          </w:p>
        </w:tc>
        <w:tc>
          <w:tcPr>
            <w:tcW w:w="675" w:type="dxa"/>
            <w:tcBorders>
              <w:top w:val="nil"/>
              <w:left w:val="nil"/>
              <w:bottom w:val="single" w:color="auto" w:sz="4" w:space="0"/>
              <w:right w:val="single" w:color="auto" w:sz="4" w:space="0"/>
            </w:tcBorders>
            <w:noWrap w:val="0"/>
            <w:tcMar>
              <w:top w:w="15" w:type="dxa"/>
              <w:left w:w="15" w:type="dxa"/>
              <w:right w:w="15" w:type="dxa"/>
            </w:tcMar>
            <w:vAlign w:val="center"/>
          </w:tcPr>
          <w:p w14:paraId="14D5B2A1">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326.9</w:t>
            </w:r>
          </w:p>
        </w:tc>
        <w:tc>
          <w:tcPr>
            <w:tcW w:w="735" w:type="dxa"/>
            <w:tcBorders>
              <w:top w:val="nil"/>
              <w:left w:val="nil"/>
              <w:bottom w:val="single" w:color="auto" w:sz="4" w:space="0"/>
              <w:right w:val="single" w:color="auto" w:sz="4" w:space="0"/>
            </w:tcBorders>
            <w:noWrap w:val="0"/>
            <w:tcMar>
              <w:top w:w="15" w:type="dxa"/>
              <w:left w:w="15" w:type="dxa"/>
              <w:right w:w="15" w:type="dxa"/>
            </w:tcMar>
            <w:vAlign w:val="center"/>
          </w:tcPr>
          <w:p w14:paraId="5B7D8C7A">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-4.6</w:t>
            </w:r>
          </w:p>
        </w:tc>
        <w:tc>
          <w:tcPr>
            <w:tcW w:w="735" w:type="dxa"/>
            <w:tcBorders>
              <w:top w:val="nil"/>
              <w:left w:val="nil"/>
              <w:bottom w:val="single" w:color="auto" w:sz="4" w:space="0"/>
              <w:right w:val="single" w:color="auto" w:sz="4" w:space="0"/>
            </w:tcBorders>
            <w:noWrap w:val="0"/>
            <w:tcMar>
              <w:top w:w="15" w:type="dxa"/>
              <w:left w:w="15" w:type="dxa"/>
              <w:right w:w="15" w:type="dxa"/>
            </w:tcMar>
            <w:vAlign w:val="center"/>
          </w:tcPr>
          <w:p w14:paraId="2182F393">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778.3</w:t>
            </w:r>
          </w:p>
        </w:tc>
        <w:tc>
          <w:tcPr>
            <w:tcW w:w="624" w:type="dxa"/>
            <w:tcBorders>
              <w:top w:val="nil"/>
              <w:left w:val="nil"/>
              <w:bottom w:val="single" w:color="auto" w:sz="4" w:space="0"/>
              <w:right w:val="single" w:color="auto" w:sz="4" w:space="0"/>
            </w:tcBorders>
            <w:noWrap w:val="0"/>
            <w:tcMar>
              <w:top w:w="15" w:type="dxa"/>
              <w:left w:w="15" w:type="dxa"/>
              <w:right w:w="15" w:type="dxa"/>
            </w:tcMar>
            <w:vAlign w:val="center"/>
          </w:tcPr>
          <w:p w14:paraId="0941D815">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-1.9</w:t>
            </w:r>
          </w:p>
        </w:tc>
      </w:tr>
      <w:tr w14:paraId="1BD2A33A">
        <w:tblPrEx>
          <w:tblCellMar>
            <w:top w:w="0" w:type="dxa"/>
            <w:left w:w="0" w:type="dxa"/>
            <w:bottom w:w="0" w:type="dxa"/>
            <w:right w:w="0" w:type="dxa"/>
          </w:tblCellMar>
        </w:tblPrEx>
        <w:trPr>
          <w:trHeight w:val="715" w:hRule="atLeast"/>
        </w:trPr>
        <w:tc>
          <w:tcPr>
            <w:tcW w:w="1200"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4372C95E">
            <w:pPr>
              <w:keepNext w:val="0"/>
              <w:keepLines w:val="0"/>
              <w:widowControl/>
              <w:suppressLineNumbers w:val="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i w:val="0"/>
                <w:iCs w:val="0"/>
                <w:color w:val="000000"/>
                <w:kern w:val="0"/>
                <w:sz w:val="24"/>
                <w:szCs w:val="24"/>
                <w:u w:val="none"/>
                <w:lang w:val="en-US" w:eastAsia="zh-CN" w:bidi="ar"/>
              </w:rPr>
              <w:t>其中：限额以上</w:t>
            </w:r>
          </w:p>
        </w:tc>
        <w:tc>
          <w:tcPr>
            <w:tcW w:w="1005" w:type="dxa"/>
            <w:tcBorders>
              <w:top w:val="nil"/>
              <w:left w:val="nil"/>
              <w:bottom w:val="single" w:color="auto" w:sz="4" w:space="0"/>
              <w:right w:val="single" w:color="auto" w:sz="4" w:space="0"/>
            </w:tcBorders>
            <w:noWrap w:val="0"/>
            <w:tcMar>
              <w:top w:w="15" w:type="dxa"/>
              <w:left w:w="15" w:type="dxa"/>
              <w:right w:w="15" w:type="dxa"/>
            </w:tcMar>
            <w:vAlign w:val="center"/>
          </w:tcPr>
          <w:p w14:paraId="6B67E58C">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2384.4</w:t>
            </w:r>
          </w:p>
        </w:tc>
        <w:tc>
          <w:tcPr>
            <w:tcW w:w="735" w:type="dxa"/>
            <w:tcBorders>
              <w:top w:val="nil"/>
              <w:left w:val="nil"/>
              <w:bottom w:val="single" w:color="auto" w:sz="4" w:space="0"/>
              <w:right w:val="single" w:color="auto" w:sz="4" w:space="0"/>
            </w:tcBorders>
            <w:noWrap w:val="0"/>
            <w:tcMar>
              <w:top w:w="15" w:type="dxa"/>
              <w:left w:w="15" w:type="dxa"/>
              <w:right w:w="15" w:type="dxa"/>
            </w:tcMar>
            <w:vAlign w:val="center"/>
          </w:tcPr>
          <w:p w14:paraId="46B533BC">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13.23</w:t>
            </w:r>
          </w:p>
        </w:tc>
        <w:tc>
          <w:tcPr>
            <w:tcW w:w="735" w:type="dxa"/>
            <w:tcBorders>
              <w:top w:val="nil"/>
              <w:left w:val="nil"/>
              <w:bottom w:val="single" w:color="auto" w:sz="4" w:space="0"/>
              <w:right w:val="single" w:color="auto" w:sz="4" w:space="0"/>
            </w:tcBorders>
            <w:noWrap w:val="0"/>
            <w:tcMar>
              <w:top w:w="15" w:type="dxa"/>
              <w:left w:w="15" w:type="dxa"/>
              <w:right w:w="15" w:type="dxa"/>
            </w:tcMar>
            <w:vAlign w:val="center"/>
          </w:tcPr>
          <w:p w14:paraId="7AB0DC41">
            <w:pPr>
              <w:keepNext w:val="0"/>
              <w:keepLines w:val="0"/>
              <w:widowControl/>
              <w:suppressLineNumbers w:val="0"/>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835.2</w:t>
            </w:r>
          </w:p>
        </w:tc>
        <w:tc>
          <w:tcPr>
            <w:tcW w:w="615" w:type="dxa"/>
            <w:tcBorders>
              <w:top w:val="nil"/>
              <w:left w:val="nil"/>
              <w:bottom w:val="single" w:color="auto" w:sz="4" w:space="0"/>
              <w:right w:val="single" w:color="auto" w:sz="4" w:space="0"/>
            </w:tcBorders>
            <w:noWrap w:val="0"/>
            <w:tcMar>
              <w:top w:w="15" w:type="dxa"/>
              <w:left w:w="15" w:type="dxa"/>
              <w:right w:w="15" w:type="dxa"/>
            </w:tcMar>
            <w:vAlign w:val="center"/>
          </w:tcPr>
          <w:p w14:paraId="15642DD9">
            <w:pPr>
              <w:keepNext w:val="0"/>
              <w:keepLines w:val="0"/>
              <w:widowControl/>
              <w:suppressLineNumbers w:val="0"/>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34.5</w:t>
            </w:r>
          </w:p>
        </w:tc>
        <w:tc>
          <w:tcPr>
            <w:tcW w:w="720" w:type="dxa"/>
            <w:tcBorders>
              <w:top w:val="nil"/>
              <w:left w:val="nil"/>
              <w:bottom w:val="single" w:color="auto" w:sz="4" w:space="0"/>
              <w:right w:val="single" w:color="auto" w:sz="4" w:space="0"/>
            </w:tcBorders>
            <w:noWrap w:val="0"/>
            <w:tcMar>
              <w:top w:w="15" w:type="dxa"/>
              <w:left w:w="15" w:type="dxa"/>
              <w:right w:w="15" w:type="dxa"/>
            </w:tcMar>
            <w:vAlign w:val="center"/>
          </w:tcPr>
          <w:p w14:paraId="4EA51B3A">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1279.1</w:t>
            </w:r>
          </w:p>
        </w:tc>
        <w:tc>
          <w:tcPr>
            <w:tcW w:w="600" w:type="dxa"/>
            <w:tcBorders>
              <w:top w:val="nil"/>
              <w:left w:val="nil"/>
              <w:bottom w:val="single" w:color="auto" w:sz="4" w:space="0"/>
              <w:right w:val="single" w:color="auto" w:sz="4" w:space="0"/>
            </w:tcBorders>
            <w:noWrap w:val="0"/>
            <w:tcMar>
              <w:top w:w="15" w:type="dxa"/>
              <w:left w:w="15" w:type="dxa"/>
              <w:right w:w="15" w:type="dxa"/>
            </w:tcMar>
            <w:vAlign w:val="center"/>
          </w:tcPr>
          <w:p w14:paraId="7C947454">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8.77</w:t>
            </w:r>
          </w:p>
        </w:tc>
        <w:tc>
          <w:tcPr>
            <w:tcW w:w="675" w:type="dxa"/>
            <w:tcBorders>
              <w:top w:val="nil"/>
              <w:left w:val="nil"/>
              <w:bottom w:val="single" w:color="auto" w:sz="4" w:space="0"/>
              <w:right w:val="single" w:color="auto" w:sz="4" w:space="0"/>
            </w:tcBorders>
            <w:noWrap w:val="0"/>
            <w:tcMar>
              <w:top w:w="15" w:type="dxa"/>
              <w:left w:w="15" w:type="dxa"/>
              <w:right w:w="15" w:type="dxa"/>
            </w:tcMar>
            <w:vAlign w:val="center"/>
          </w:tcPr>
          <w:p w14:paraId="6F6DEAD8">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52.6</w:t>
            </w:r>
          </w:p>
        </w:tc>
        <w:tc>
          <w:tcPr>
            <w:tcW w:w="735" w:type="dxa"/>
            <w:tcBorders>
              <w:top w:val="nil"/>
              <w:left w:val="nil"/>
              <w:bottom w:val="single" w:color="auto" w:sz="4" w:space="0"/>
              <w:right w:val="single" w:color="auto" w:sz="4" w:space="0"/>
            </w:tcBorders>
            <w:noWrap w:val="0"/>
            <w:tcMar>
              <w:top w:w="15" w:type="dxa"/>
              <w:left w:w="15" w:type="dxa"/>
              <w:right w:w="15" w:type="dxa"/>
            </w:tcMar>
            <w:vAlign w:val="center"/>
          </w:tcPr>
          <w:p w14:paraId="2B1C2BE8">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-27.5</w:t>
            </w:r>
          </w:p>
        </w:tc>
        <w:tc>
          <w:tcPr>
            <w:tcW w:w="735" w:type="dxa"/>
            <w:tcBorders>
              <w:top w:val="nil"/>
              <w:left w:val="nil"/>
              <w:bottom w:val="single" w:color="auto" w:sz="4" w:space="0"/>
              <w:right w:val="single" w:color="auto" w:sz="4" w:space="0"/>
            </w:tcBorders>
            <w:noWrap w:val="0"/>
            <w:tcMar>
              <w:top w:w="15" w:type="dxa"/>
              <w:left w:w="15" w:type="dxa"/>
              <w:right w:w="15" w:type="dxa"/>
            </w:tcMar>
            <w:vAlign w:val="center"/>
          </w:tcPr>
          <w:p w14:paraId="652D6004">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217.5</w:t>
            </w:r>
          </w:p>
        </w:tc>
        <w:tc>
          <w:tcPr>
            <w:tcW w:w="624" w:type="dxa"/>
            <w:tcBorders>
              <w:top w:val="nil"/>
              <w:left w:val="nil"/>
              <w:bottom w:val="single" w:color="auto" w:sz="4" w:space="0"/>
              <w:right w:val="single" w:color="auto" w:sz="4" w:space="0"/>
            </w:tcBorders>
            <w:noWrap w:val="0"/>
            <w:tcMar>
              <w:top w:w="15" w:type="dxa"/>
              <w:left w:w="15" w:type="dxa"/>
              <w:right w:w="15" w:type="dxa"/>
            </w:tcMar>
            <w:vAlign w:val="center"/>
          </w:tcPr>
          <w:p w14:paraId="7A78BCAD">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i w:val="0"/>
                <w:iCs w:val="0"/>
                <w:color w:val="000000"/>
                <w:kern w:val="0"/>
                <w:sz w:val="24"/>
                <w:szCs w:val="24"/>
                <w:u w:val="none"/>
                <w:lang w:val="en-US" w:eastAsia="zh-CN" w:bidi="ar"/>
              </w:rPr>
              <w:t>-8.84</w:t>
            </w:r>
          </w:p>
        </w:tc>
      </w:tr>
    </w:tbl>
    <w:p w14:paraId="4F8DAD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（五）财政金融</w:t>
      </w:r>
    </w:p>
    <w:p w14:paraId="6BDF0A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一季度，全县财政一般公共预算收入3.9亿元，同比增长10.36%，一般公共预算支出6.47亿元，同比下降4.71%。根据人民银行存贷报表数据显示，全县金融机构各项存款额</w:t>
      </w:r>
    </w:p>
    <w:p w14:paraId="6F235A9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41.68亿元，</w:t>
      </w:r>
      <w:r>
        <w:rPr>
          <w:rFonts w:hint="eastAsia" w:ascii="仿宋_GB2312" w:hAnsi="仿宋_GB2312" w:eastAsia="仿宋_GB2312" w:cs="仿宋_GB2312"/>
          <w:sz w:val="32"/>
          <w:szCs w:val="32"/>
          <w:highlight w:val="none"/>
          <w:lang w:val="en-US" w:eastAsia="zh-CN"/>
        </w:rPr>
        <w:t>同比增长18%，各项贷款余额30.32亿元，同比增长18%。</w:t>
      </w:r>
    </w:p>
    <w:p w14:paraId="39F110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二、存在的主要问题</w:t>
      </w:r>
    </w:p>
    <w:p w14:paraId="49B2CF6C">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（一）农牧业产值呈现下降趋势。</w:t>
      </w:r>
      <w:r>
        <w:rPr>
          <w:rFonts w:hint="eastAsia" w:ascii="仿宋_GB2312" w:hAnsi="仿宋_GB2312" w:eastAsia="仿宋_GB2312" w:cs="仿宋_GB2312"/>
          <w:b w:val="0"/>
          <w:bCs w:val="0"/>
          <w:sz w:val="32"/>
          <w:szCs w:val="32"/>
          <w:lang w:val="en-US" w:eastAsia="zh-CN"/>
        </w:rPr>
        <w:t>一季度农林牧渔业结构高度集中，牧业占比高达92%,占据绝对主导地位；种植业等农业生产优势一般在下半年释放。主要畜禽存栏、出栏均呈现下滑,畜禽生产规模持续收缩，畜牧养殖产能为回落态势。</w:t>
      </w:r>
    </w:p>
    <w:p w14:paraId="6F359A19">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lang w:val="en-US" w:eastAsia="zh-CN"/>
        </w:rPr>
        <w:t>第三产业拉动力弱。</w:t>
      </w:r>
      <w:r>
        <w:rPr>
          <w:rFonts w:hint="eastAsia" w:ascii="仿宋_GB2312" w:hAnsi="仿宋_GB2312" w:eastAsia="仿宋_GB2312" w:cs="仿宋_GB2312"/>
          <w:b w:val="0"/>
          <w:bCs w:val="0"/>
          <w:sz w:val="32"/>
          <w:szCs w:val="32"/>
          <w:lang w:val="en-US" w:eastAsia="zh-CN"/>
        </w:rPr>
        <w:t>一季度全县第三产业增加值下降1.2%，从第三产业各行业增加值占比和拉动力来看，三产中的批发零售业、交通运输仓储和邮政业、金融业、房地产占经济总量的比重分别为1.5%、2.6%、2.4%、5.4%，对经济增长的贡献率极其有限，其他服务业虽然占比为27.7%，但该行业中的非营利性服务业受县聘人员分流等因素影响，劳动工资总额增幅较小，增速为-2.9%，</w:t>
      </w:r>
      <w:r>
        <w:rPr>
          <w:rFonts w:hint="eastAsia" w:ascii="仿宋_GB2312" w:hAnsi="仿宋_GB2312" w:eastAsia="仿宋_GB2312" w:cs="仿宋_GB2312"/>
          <w:color w:val="000000"/>
          <w:kern w:val="0"/>
          <w:sz w:val="32"/>
          <w:szCs w:val="32"/>
          <w:lang w:val="en-US" w:eastAsia="zh-CN" w:bidi="ar-SA"/>
        </w:rPr>
        <w:t>共涉及99家单位，工资总额1.59亿元，同比下降0.52%；营利性服务业共16家单位，工资总额0.072亿元，同比下降11.4%，</w:t>
      </w:r>
      <w:r>
        <w:rPr>
          <w:rFonts w:hint="eastAsia" w:ascii="仿宋_GB2312" w:hAnsi="仿宋_GB2312" w:eastAsia="仿宋_GB2312" w:cs="仿宋_GB2312"/>
          <w:b w:val="0"/>
          <w:bCs w:val="0"/>
          <w:sz w:val="32"/>
          <w:szCs w:val="32"/>
          <w:lang w:val="en-US" w:eastAsia="zh-CN"/>
        </w:rPr>
        <w:t>营利性服务业由于我县没有相应的规上企业，增速只能采用地区平均增速计算，平滑后增速为-4.6%，三产各行业对经济整体拉动力有限。</w:t>
      </w:r>
    </w:p>
    <w:p w14:paraId="306D2E75">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sz w:val="32"/>
          <w:szCs w:val="32"/>
          <w:lang w:val="en-US" w:eastAsia="zh-CN"/>
        </w:rPr>
        <w:t>（三）全县消费总量不高。</w:t>
      </w:r>
      <w:r>
        <w:rPr>
          <w:rFonts w:hint="eastAsia" w:ascii="仿宋_GB2312" w:hAnsi="仿宋_GB2312" w:eastAsia="仿宋_GB2312" w:cs="仿宋_GB2312"/>
          <w:b w:val="0"/>
          <w:bCs w:val="0"/>
          <w:sz w:val="32"/>
          <w:szCs w:val="32"/>
          <w:lang w:val="en-US" w:eastAsia="zh-CN"/>
        </w:rPr>
        <w:t>就目前我县消费市场空间和水平来看，存在的主要问题是消费市场比较分散，消费水平不高，限额以上消费企业形成比较困难。现有的限额以上商业企业销售商品种类单一，全</w:t>
      </w:r>
      <w:r>
        <w:rPr>
          <w:rFonts w:hint="eastAsia" w:ascii="仿宋_GB2312" w:hAnsi="仿宋_GB2312" w:eastAsia="仿宋_GB2312" w:cs="仿宋_GB2312"/>
          <w:b w:val="0"/>
          <w:bCs w:val="0"/>
          <w:color w:val="auto"/>
          <w:sz w:val="32"/>
          <w:szCs w:val="32"/>
          <w:lang w:val="en-US" w:eastAsia="zh-CN"/>
        </w:rPr>
        <w:t>县限额以上零售企业主要销售的商品为燃油、汽车和粮油食品、日常用品这几类，从消费需求的角度来看，燃油、汽车都属于软需求，销量增长幅度的大小主要取决于消费者消费习惯和收入水平，粮油食品和日常消费品的增长，主要取决于区域内消费人口的增长，由于全县人口规模近年来变化不大,消费增长的空间总体有限。</w:t>
      </w:r>
    </w:p>
    <w:p w14:paraId="29443A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三、下一步工作建议</w:t>
      </w:r>
    </w:p>
    <w:p w14:paraId="6A9FC67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（一）不断提升农牧业发展水平。</w:t>
      </w:r>
      <w:r>
        <w:rPr>
          <w:rFonts w:hint="eastAsia" w:ascii="仿宋_GB2312" w:hAnsi="仿宋_GB2312" w:eastAsia="仿宋_GB2312" w:cs="仿宋_GB2312"/>
          <w:b w:val="0"/>
          <w:bCs w:val="0"/>
          <w:color w:val="auto"/>
          <w:sz w:val="32"/>
          <w:szCs w:val="32"/>
          <w:lang w:val="en-US" w:eastAsia="zh-CN"/>
        </w:rPr>
        <w:t>抓好农牧业生产基础数据统计工作，特别是要抓好畜情调查户的数据质量和各乡镇场牲畜存出栏数据，尤其重点关注县域内养殖大户的牲畜规模，及时动态完善的台账信息，做到底数清，情况明，确保牲畜存出栏量数据予以完整精准统计，杜绝漏统、错统现象发生，从而使二季度牲畜存出栏量数据达到较好水平。加快培育和引进农牧业加工龙头企业，带动农产品深加工和牲畜品种改良，促进畜牧业传统养殖方式的转变，不断提升农牧业生产效益和质量。</w:t>
      </w:r>
    </w:p>
    <w:p w14:paraId="4DA7996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（二）千方百计稳定工业生产。</w:t>
      </w:r>
      <w:r>
        <w:rPr>
          <w:rFonts w:hint="eastAsia" w:ascii="仿宋_GB2312" w:hAnsi="仿宋_GB2312" w:eastAsia="仿宋_GB2312" w:cs="仿宋_GB2312"/>
          <w:b w:val="0"/>
          <w:bCs w:val="0"/>
          <w:color w:val="auto"/>
          <w:sz w:val="32"/>
          <w:szCs w:val="32"/>
          <w:lang w:val="en-US" w:eastAsia="zh-CN"/>
        </w:rPr>
        <w:t>做好企业走访，摸清生产计划，做好企业服务，确保二季度现有企业实现稳定生产。从工业三大门类占比来看，制造业增速虽然较高，但占规上工业增加值的比重仅为3.8%，是工业经济发展中的短板弱项，建议围绕农产品、矿产品深加工培育相关企业，不断提升制造业经济总量，促进工业经济全面发展。</w:t>
      </w:r>
    </w:p>
    <w:p w14:paraId="5F4836B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（三）加快推进项目谋划和建设。</w:t>
      </w:r>
      <w:r>
        <w:rPr>
          <w:rFonts w:hint="eastAsia" w:ascii="仿宋_GB2312" w:hAnsi="仿宋_GB2312" w:eastAsia="仿宋_GB2312" w:cs="仿宋_GB2312"/>
          <w:b w:val="0"/>
          <w:bCs w:val="0"/>
          <w:color w:val="auto"/>
          <w:sz w:val="32"/>
          <w:szCs w:val="32"/>
          <w:lang w:val="en-US" w:eastAsia="zh-CN"/>
        </w:rPr>
        <w:t>紧盯工业领域重点项目建设，部门之间要做好协调联动，及时解决项目建设中存在的困难和问题，加快建设进度，力争早日投产，为经济增长注入新的活力。围绕国家投资政策，积极谋划、储备和推进一批基础设施建设项目，改善投资结构，形成对经济增长的有效拉动。</w:t>
      </w:r>
    </w:p>
    <w:p w14:paraId="424A363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auto"/>
          <w:sz w:val="32"/>
          <w:szCs w:val="32"/>
          <w:lang w:val="en-US" w:eastAsia="zh-CN"/>
        </w:rPr>
        <w:t>（四）持续激发消费市场活力。</w:t>
      </w:r>
      <w:r>
        <w:rPr>
          <w:rFonts w:hint="eastAsia" w:ascii="仿宋_GB2312" w:hAnsi="仿宋_GB2312" w:eastAsia="仿宋_GB2312" w:cs="仿宋_GB2312"/>
          <w:b w:val="0"/>
          <w:bCs w:val="0"/>
          <w:color w:val="auto"/>
          <w:sz w:val="32"/>
          <w:szCs w:val="32"/>
          <w:lang w:val="en-US" w:eastAsia="zh-CN"/>
        </w:rPr>
        <w:t>全县限上批发业零售额达835.2万元，增速高达34.5%是当前拉动社零增长的最强引擎，依托此优势拓展销售渠道，提升市场的辐射力；限上住宿业、餐饮业双双下滑，成为制约社零全面增长的短板，应采取对外宣传和给予相关政策扶持等有力措施，优化营商环境，引导刺激消费，不断提高限上企业零售总额。加大“临界”企业培育。对业务范围广，经营品种多的企业重点做好跟踪服务和政策扶持，激励企业做大做强，持续扩大限上企业在库规模，形成新的零售额增长点。</w:t>
      </w:r>
    </w:p>
    <w:p w14:paraId="2AB110A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p>
    <w:p w14:paraId="542C2B8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p>
    <w:p w14:paraId="3CB4AC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p>
    <w:p w14:paraId="580FD5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p>
    <w:p w14:paraId="542E6D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p>
    <w:p w14:paraId="2D2810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p>
    <w:p w14:paraId="1C7A65C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right"/>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和布克赛尔县统计局</w:t>
      </w:r>
    </w:p>
    <w:p w14:paraId="37F4249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right"/>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2026年4月23日</w:t>
      </w:r>
    </w:p>
    <w:p w14:paraId="6D55F7CF"/>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4D4265"/>
    <w:rsid w:val="01A3164A"/>
    <w:rsid w:val="03250AA9"/>
    <w:rsid w:val="036252D2"/>
    <w:rsid w:val="044D4265"/>
    <w:rsid w:val="05C90325"/>
    <w:rsid w:val="06372A17"/>
    <w:rsid w:val="0822736D"/>
    <w:rsid w:val="0D273323"/>
    <w:rsid w:val="0D93216C"/>
    <w:rsid w:val="17BF2981"/>
    <w:rsid w:val="1BCE7C0E"/>
    <w:rsid w:val="1EFB3816"/>
    <w:rsid w:val="210D6135"/>
    <w:rsid w:val="23391543"/>
    <w:rsid w:val="24971C94"/>
    <w:rsid w:val="270F053A"/>
    <w:rsid w:val="2F25695E"/>
    <w:rsid w:val="31BF4C99"/>
    <w:rsid w:val="352D4B97"/>
    <w:rsid w:val="399564B2"/>
    <w:rsid w:val="3DF90190"/>
    <w:rsid w:val="404846A2"/>
    <w:rsid w:val="41814372"/>
    <w:rsid w:val="4A685FCB"/>
    <w:rsid w:val="4DC43A14"/>
    <w:rsid w:val="4EB3122E"/>
    <w:rsid w:val="5016258C"/>
    <w:rsid w:val="51E96E98"/>
    <w:rsid w:val="549C2483"/>
    <w:rsid w:val="54E6395D"/>
    <w:rsid w:val="5C9419AD"/>
    <w:rsid w:val="5CC948D7"/>
    <w:rsid w:val="60DD46AD"/>
    <w:rsid w:val="66AA4F9D"/>
    <w:rsid w:val="67652BDB"/>
    <w:rsid w:val="68E04BBE"/>
    <w:rsid w:val="6B390537"/>
    <w:rsid w:val="7B160A2C"/>
    <w:rsid w:val="7C562109"/>
    <w:rsid w:val="7D9F76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ind w:firstLine="200" w:firstLineChars="200"/>
      <w:outlineLvl w:val="2"/>
    </w:pPr>
    <w:rPr>
      <w:rFonts w:hint="eastAsia" w:ascii="仿宋" w:hAnsi="Times New Roman" w:eastAsia="仿宋"/>
      <w:color w:val="FF0000"/>
    </w:rPr>
  </w:style>
  <w:style w:type="character" w:default="1" w:styleId="5">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table" w:styleId="4">
    <w:name w:val="Table Grid"/>
    <w:basedOn w:val="3"/>
    <w:qFormat/>
    <w:uiPriority w:val="0"/>
    <w:pPr>
      <w:widowControl w:val="0"/>
      <w:jc w:val="both"/>
    </w:pPr>
    <w:tblPr>
      <w:tblStyl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61"/>
    <w:basedOn w:val="5"/>
    <w:qFormat/>
    <w:uiPriority w:val="0"/>
    <w:rPr>
      <w:rFonts w:hint="eastAsia" w:ascii="宋体" w:hAnsi="宋体" w:eastAsia="宋体" w:cs="宋体"/>
      <w:color w:val="000000"/>
      <w:sz w:val="22"/>
      <w:szCs w:val="22"/>
      <w:u w:val="none"/>
    </w:rPr>
  </w:style>
  <w:style w:type="character" w:customStyle="1" w:styleId="7">
    <w:name w:val="font51"/>
    <w:basedOn w:val="5"/>
    <w:qFormat/>
    <w:uiPriority w:val="0"/>
    <w:rPr>
      <w:rFonts w:hint="eastAsia" w:ascii="宋体" w:hAnsi="宋体" w:eastAsia="宋体" w:cs="宋体"/>
      <w:color w:val="auto"/>
      <w:sz w:val="24"/>
      <w:szCs w:val="24"/>
      <w:u w:val="none"/>
    </w:rPr>
  </w:style>
  <w:style w:type="character" w:customStyle="1" w:styleId="8">
    <w:name w:val="font01"/>
    <w:basedOn w:val="5"/>
    <w:uiPriority w:val="0"/>
    <w:rPr>
      <w:rFonts w:hint="eastAsia" w:ascii="宋体" w:hAnsi="宋体" w:eastAsia="宋体" w:cs="宋体"/>
      <w:color w:val="000000"/>
      <w:sz w:val="22"/>
      <w:szCs w:val="22"/>
      <w:u w:val="none"/>
    </w:rPr>
  </w:style>
  <w:style w:type="character" w:customStyle="1" w:styleId="9">
    <w:name w:val="font41"/>
    <w:basedOn w:val="5"/>
    <w:uiPriority w:val="0"/>
    <w:rPr>
      <w:rFonts w:hint="eastAsia" w:ascii="宋体" w:hAnsi="宋体" w:eastAsia="宋体" w:cs="宋体"/>
      <w:color w:val="000000"/>
      <w:sz w:val="22"/>
      <w:szCs w:val="22"/>
      <w:u w:val="none"/>
    </w:rPr>
  </w:style>
  <w:style w:type="character" w:customStyle="1" w:styleId="10">
    <w:name w:val="font11"/>
    <w:basedOn w:val="5"/>
    <w:uiPriority w:val="0"/>
    <w:rPr>
      <w:rFonts w:hint="default" w:ascii="Tahoma" w:hAnsi="Tahoma" w:eastAsia="Tahoma" w:cs="Tahoma"/>
      <w:color w:val="000000"/>
      <w:sz w:val="22"/>
      <w:szCs w:val="22"/>
      <w:u w:val="none"/>
    </w:rPr>
  </w:style>
  <w:style w:type="character" w:customStyle="1" w:styleId="11">
    <w:name w:val="font31"/>
    <w:basedOn w:val="5"/>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4424</Words>
  <Characters>5765</Characters>
  <Lines>0</Lines>
  <Paragraphs>0</Paragraphs>
  <TotalTime>10</TotalTime>
  <ScaleCrop>false</ScaleCrop>
  <LinksUpToDate>false</LinksUpToDate>
  <CharactersWithSpaces>5869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2026-04-22T09:14:00Z</dcterms:created>
  <dc:creator>Administrator</dc:creator>
  <cp:lastModifiedBy>Dave</cp:lastModifiedBy>
  <cp:lastPrinted>2026-04-23T12:21:20Z</cp:lastPrinted>
  <dcterms:modified xsi:type="dcterms:W3CDTF">2026-07-13T04:10:00Z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58338D2924F84DE4A1EF60445442F418_13</vt:lpwstr>
  </property>
  <property fmtid="{D5CDD505-2E9C-101B-9397-08002B2CF9AE}" pid="4" name="KSOTemplateDocerSaveRecord">
    <vt:lpwstr>eyJoZGlkIjoiYTYzNzdmMTQyZGJkZGZkYzMxYTA0YmYwMTRkYzI2ZmYiLCJ1c2VySWQiOiI1OTIyMDA2OTEifQ==</vt:lpwstr>
  </property>
</Properties>
</file>