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67044">
      <w:pPr>
        <w:tabs>
          <w:tab w:val="center" w:pos="4153"/>
        </w:tabs>
        <w:spacing w:line="560" w:lineRule="exact"/>
        <w:jc w:val="center"/>
        <w:rPr>
          <w:rFonts w:hint="eastAsia" w:ascii="方正小标宋简体" w:hAnsi="方正小标宋简体" w:eastAsia="方正小标宋简体" w:cs="方正小标宋简体"/>
          <w:color w:val="auto"/>
          <w:spacing w:val="-20"/>
          <w:sz w:val="44"/>
          <w:szCs w:val="44"/>
        </w:rPr>
      </w:pPr>
      <w:r>
        <w:rPr>
          <w:rFonts w:hint="eastAsia" w:ascii="方正小标宋简体" w:hAnsi="方正小标宋简体" w:eastAsia="方正小标宋简体" w:cs="方正小标宋简体"/>
          <w:color w:val="auto"/>
          <w:spacing w:val="-20"/>
          <w:sz w:val="44"/>
          <w:szCs w:val="44"/>
        </w:rPr>
        <w:t>和布克赛尔县202</w:t>
      </w:r>
      <w:r>
        <w:rPr>
          <w:rFonts w:hint="eastAsia" w:ascii="方正小标宋简体" w:hAnsi="方正小标宋简体" w:eastAsia="方正小标宋简体" w:cs="方正小标宋简体"/>
          <w:color w:val="auto"/>
          <w:spacing w:val="-20"/>
          <w:sz w:val="44"/>
          <w:szCs w:val="44"/>
          <w:lang w:val="en-US" w:eastAsia="zh-CN"/>
        </w:rPr>
        <w:t>5</w:t>
      </w:r>
      <w:r>
        <w:rPr>
          <w:rFonts w:hint="eastAsia" w:ascii="方正小标宋简体" w:hAnsi="方正小标宋简体" w:eastAsia="方正小标宋简体" w:cs="方正小标宋简体"/>
          <w:color w:val="auto"/>
          <w:spacing w:val="-20"/>
          <w:sz w:val="44"/>
          <w:szCs w:val="44"/>
        </w:rPr>
        <w:t>年</w:t>
      </w:r>
      <w:r>
        <w:rPr>
          <w:rFonts w:hint="eastAsia" w:ascii="方正小标宋简体" w:hAnsi="方正小标宋简体" w:eastAsia="方正小标宋简体" w:cs="方正小标宋简体"/>
          <w:color w:val="auto"/>
          <w:spacing w:val="-20"/>
          <w:sz w:val="44"/>
          <w:szCs w:val="44"/>
          <w:lang w:val="en-US" w:eastAsia="zh-CN"/>
        </w:rPr>
        <w:t>1-9月</w:t>
      </w:r>
      <w:r>
        <w:rPr>
          <w:rFonts w:hint="eastAsia" w:ascii="方正小标宋简体" w:hAnsi="方正小标宋简体" w:eastAsia="方正小标宋简体" w:cs="方正小标宋简体"/>
          <w:color w:val="auto"/>
          <w:spacing w:val="-20"/>
          <w:sz w:val="44"/>
          <w:szCs w:val="44"/>
        </w:rPr>
        <w:t>主要经济指标</w:t>
      </w:r>
    </w:p>
    <w:p w14:paraId="0F9106C6">
      <w:pPr>
        <w:tabs>
          <w:tab w:val="center" w:pos="4153"/>
        </w:tabs>
        <w:spacing w:line="560" w:lineRule="exact"/>
        <w:jc w:val="center"/>
        <w:rPr>
          <w:rFonts w:hint="eastAsia" w:ascii="方正小标宋简体" w:hAnsi="方正小标宋简体" w:eastAsia="方正小标宋简体" w:cs="方正小标宋简体"/>
          <w:color w:val="auto"/>
          <w:spacing w:val="-20"/>
          <w:sz w:val="44"/>
          <w:szCs w:val="44"/>
          <w:lang w:eastAsia="zh-CN"/>
        </w:rPr>
      </w:pPr>
      <w:r>
        <w:rPr>
          <w:rFonts w:hint="eastAsia" w:ascii="方正小标宋简体" w:hAnsi="方正小标宋简体" w:eastAsia="方正小标宋简体" w:cs="方正小标宋简体"/>
          <w:color w:val="auto"/>
          <w:spacing w:val="-20"/>
          <w:sz w:val="44"/>
          <w:szCs w:val="44"/>
        </w:rPr>
        <w:t>完成情况</w:t>
      </w:r>
      <w:r>
        <w:rPr>
          <w:rFonts w:hint="eastAsia" w:ascii="方正小标宋简体" w:hAnsi="方正小标宋简体" w:eastAsia="方正小标宋简体" w:cs="方正小标宋简体"/>
          <w:color w:val="auto"/>
          <w:spacing w:val="-20"/>
          <w:sz w:val="44"/>
          <w:szCs w:val="44"/>
          <w:lang w:eastAsia="zh-CN"/>
        </w:rPr>
        <w:t>简析</w:t>
      </w:r>
    </w:p>
    <w:p w14:paraId="4F960CE1">
      <w:pPr>
        <w:keepNext w:val="0"/>
        <w:keepLines w:val="0"/>
        <w:pageBreakBefore w:val="0"/>
        <w:widowControl w:val="0"/>
        <w:tabs>
          <w:tab w:val="center" w:pos="4153"/>
        </w:tabs>
        <w:kinsoku/>
        <w:wordWrap/>
        <w:overflowPunct/>
        <w:topLinePunct w:val="0"/>
        <w:autoSpaceDE/>
        <w:autoSpaceDN/>
        <w:bidi w:val="0"/>
        <w:adjustRightInd/>
        <w:snapToGrid/>
        <w:spacing w:line="400" w:lineRule="exact"/>
        <w:jc w:val="left"/>
        <w:textAlignment w:val="auto"/>
        <w:rPr>
          <w:rFonts w:hint="eastAsia" w:ascii="方正大标宋简体" w:hAnsi="方正大标宋简体" w:eastAsia="方正大标宋简体" w:cs="方正大标宋简体"/>
          <w:color w:val="auto"/>
          <w:spacing w:val="-20"/>
          <w:sz w:val="44"/>
          <w:szCs w:val="44"/>
          <w:lang w:eastAsia="zh-CN"/>
        </w:rPr>
      </w:pPr>
    </w:p>
    <w:p w14:paraId="1127348E">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pacing w:val="0"/>
          <w:sz w:val="32"/>
          <w:szCs w:val="32"/>
          <w:lang w:eastAsia="zh-CN"/>
        </w:rPr>
      </w:pPr>
      <w:r>
        <w:rPr>
          <w:rFonts w:hint="eastAsia" w:ascii="黑体" w:hAnsi="黑体" w:eastAsia="黑体" w:cs="黑体"/>
          <w:color w:val="auto"/>
          <w:spacing w:val="0"/>
          <w:sz w:val="32"/>
          <w:szCs w:val="32"/>
          <w:lang w:eastAsia="zh-CN"/>
        </w:rPr>
        <w:t>一、总体情况</w:t>
      </w:r>
    </w:p>
    <w:tbl>
      <w:tblPr>
        <w:tblStyle w:val="7"/>
        <w:tblpPr w:leftFromText="180" w:rightFromText="180" w:vertAnchor="text" w:horzAnchor="page" w:tblpX="1931" w:tblpY="4824"/>
        <w:tblOverlap w:val="never"/>
        <w:tblW w:w="7995" w:type="dxa"/>
        <w:tblInd w:w="0" w:type="dxa"/>
        <w:tblLayout w:type="fixed"/>
        <w:tblCellMar>
          <w:top w:w="0" w:type="dxa"/>
          <w:left w:w="0" w:type="dxa"/>
          <w:bottom w:w="0" w:type="dxa"/>
          <w:right w:w="0" w:type="dxa"/>
        </w:tblCellMar>
      </w:tblPr>
      <w:tblGrid>
        <w:gridCol w:w="1955"/>
        <w:gridCol w:w="1442"/>
        <w:gridCol w:w="1632"/>
        <w:gridCol w:w="1308"/>
        <w:gridCol w:w="1658"/>
      </w:tblGrid>
      <w:tr w14:paraId="5454133C">
        <w:tblPrEx>
          <w:tblCellMar>
            <w:top w:w="0" w:type="dxa"/>
            <w:left w:w="0" w:type="dxa"/>
            <w:bottom w:w="0" w:type="dxa"/>
            <w:right w:w="0" w:type="dxa"/>
          </w:tblCellMar>
        </w:tblPrEx>
        <w:trPr>
          <w:trHeight w:val="99" w:hRule="atLeast"/>
        </w:trPr>
        <w:tc>
          <w:tcPr>
            <w:tcW w:w="1955" w:type="dxa"/>
            <w:tcBorders>
              <w:top w:val="nil"/>
              <w:left w:val="nil"/>
              <w:bottom w:val="nil"/>
              <w:right w:val="nil"/>
            </w:tcBorders>
            <w:noWrap/>
            <w:tcMar>
              <w:top w:w="15" w:type="dxa"/>
              <w:left w:w="15" w:type="dxa"/>
              <w:right w:w="15" w:type="dxa"/>
            </w:tcMar>
            <w:vAlign w:val="center"/>
          </w:tcPr>
          <w:p w14:paraId="27C7CB85">
            <w:pPr>
              <w:pageBreakBefore w:val="0"/>
              <w:kinsoku/>
              <w:wordWrap/>
              <w:overflowPunct/>
              <w:topLinePunct w:val="0"/>
              <w:autoSpaceDE/>
              <w:autoSpaceDN/>
              <w:bidi w:val="0"/>
              <w:adjustRightInd/>
              <w:snapToGrid/>
              <w:spacing w:line="560" w:lineRule="exact"/>
              <w:jc w:val="left"/>
              <w:rPr>
                <w:rFonts w:hint="eastAsia" w:ascii="仿宋_GB2312" w:hAnsi="仿宋_GB2312" w:eastAsia="仿宋_GB2312" w:cs="仿宋_GB2312"/>
                <w:i w:val="0"/>
                <w:color w:val="auto"/>
                <w:sz w:val="21"/>
                <w:szCs w:val="21"/>
                <w:u w:val="none"/>
              </w:rPr>
            </w:pPr>
          </w:p>
        </w:tc>
        <w:tc>
          <w:tcPr>
            <w:tcW w:w="1442" w:type="dxa"/>
            <w:tcBorders>
              <w:top w:val="nil"/>
              <w:left w:val="nil"/>
              <w:bottom w:val="nil"/>
              <w:right w:val="nil"/>
            </w:tcBorders>
            <w:noWrap/>
            <w:tcMar>
              <w:top w:w="15" w:type="dxa"/>
              <w:left w:w="15" w:type="dxa"/>
              <w:right w:w="15" w:type="dxa"/>
            </w:tcMar>
            <w:vAlign w:val="center"/>
          </w:tcPr>
          <w:p w14:paraId="21246F96">
            <w:pPr>
              <w:pageBreakBefore w:val="0"/>
              <w:kinsoku/>
              <w:wordWrap/>
              <w:overflowPunct/>
              <w:topLinePunct w:val="0"/>
              <w:autoSpaceDE/>
              <w:autoSpaceDN/>
              <w:bidi w:val="0"/>
              <w:adjustRightInd/>
              <w:snapToGrid/>
              <w:spacing w:line="560" w:lineRule="exact"/>
              <w:jc w:val="left"/>
              <w:rPr>
                <w:rFonts w:hint="eastAsia" w:ascii="仿宋_GB2312" w:hAnsi="仿宋_GB2312" w:eastAsia="仿宋_GB2312" w:cs="仿宋_GB2312"/>
                <w:i w:val="0"/>
                <w:color w:val="auto"/>
                <w:sz w:val="21"/>
                <w:szCs w:val="21"/>
                <w:u w:val="none"/>
              </w:rPr>
            </w:pPr>
          </w:p>
        </w:tc>
        <w:tc>
          <w:tcPr>
            <w:tcW w:w="1632" w:type="dxa"/>
            <w:tcBorders>
              <w:top w:val="nil"/>
              <w:left w:val="nil"/>
              <w:bottom w:val="nil"/>
              <w:right w:val="nil"/>
            </w:tcBorders>
            <w:noWrap/>
            <w:tcMar>
              <w:top w:w="15" w:type="dxa"/>
              <w:left w:w="15" w:type="dxa"/>
              <w:right w:w="15" w:type="dxa"/>
            </w:tcMar>
            <w:vAlign w:val="center"/>
          </w:tcPr>
          <w:p w14:paraId="02A8EB15">
            <w:pPr>
              <w:pageBreakBefore w:val="0"/>
              <w:kinsoku/>
              <w:wordWrap/>
              <w:overflowPunct/>
              <w:topLinePunct w:val="0"/>
              <w:autoSpaceDE/>
              <w:autoSpaceDN/>
              <w:bidi w:val="0"/>
              <w:adjustRightInd/>
              <w:snapToGrid/>
              <w:spacing w:line="560" w:lineRule="exact"/>
              <w:jc w:val="left"/>
              <w:rPr>
                <w:rFonts w:hint="eastAsia" w:ascii="仿宋_GB2312" w:hAnsi="仿宋_GB2312" w:eastAsia="仿宋_GB2312" w:cs="仿宋_GB2312"/>
                <w:i w:val="0"/>
                <w:color w:val="auto"/>
                <w:sz w:val="21"/>
                <w:szCs w:val="21"/>
                <w:u w:val="none"/>
              </w:rPr>
            </w:pPr>
          </w:p>
        </w:tc>
        <w:tc>
          <w:tcPr>
            <w:tcW w:w="2966" w:type="dxa"/>
            <w:gridSpan w:val="2"/>
            <w:tcBorders>
              <w:top w:val="nil"/>
              <w:left w:val="nil"/>
              <w:bottom w:val="nil"/>
              <w:right w:val="nil"/>
            </w:tcBorders>
            <w:noWrap/>
            <w:tcMar>
              <w:top w:w="15" w:type="dxa"/>
              <w:left w:w="15" w:type="dxa"/>
              <w:right w:w="15" w:type="dxa"/>
            </w:tcMar>
            <w:vAlign w:val="center"/>
          </w:tcPr>
          <w:p w14:paraId="481DC00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单位：亿元、%</w:t>
            </w:r>
          </w:p>
        </w:tc>
      </w:tr>
      <w:tr w14:paraId="0EB376EC">
        <w:tblPrEx>
          <w:tblCellMar>
            <w:top w:w="0" w:type="dxa"/>
            <w:left w:w="0" w:type="dxa"/>
            <w:bottom w:w="0" w:type="dxa"/>
            <w:right w:w="0" w:type="dxa"/>
          </w:tblCellMar>
        </w:tblPrEx>
        <w:trPr>
          <w:trHeight w:val="90" w:hRule="atLeast"/>
        </w:trPr>
        <w:tc>
          <w:tcPr>
            <w:tcW w:w="19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7E061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i w:val="0"/>
                <w:color w:val="auto"/>
                <w:sz w:val="21"/>
                <w:szCs w:val="21"/>
                <w:u w:val="none"/>
              </w:rPr>
            </w:pPr>
            <w:r>
              <w:rPr>
                <w:rFonts w:hint="eastAsia" w:ascii="仿宋_GB2312" w:hAnsi="仿宋_GB2312" w:eastAsia="仿宋_GB2312" w:cs="仿宋_GB2312"/>
                <w:b/>
                <w:i w:val="0"/>
                <w:color w:val="auto"/>
                <w:kern w:val="0"/>
                <w:sz w:val="21"/>
                <w:szCs w:val="21"/>
                <w:u w:val="none"/>
                <w:lang w:val="en-US" w:eastAsia="zh-CN" w:bidi="ar"/>
              </w:rPr>
              <w:t>项目名称　</w:t>
            </w:r>
          </w:p>
        </w:tc>
        <w:tc>
          <w:tcPr>
            <w:tcW w:w="1442"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68EA90B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i w:val="0"/>
                <w:color w:val="auto"/>
                <w:sz w:val="21"/>
                <w:szCs w:val="21"/>
                <w:u w:val="none"/>
              </w:rPr>
            </w:pPr>
            <w:r>
              <w:rPr>
                <w:rFonts w:hint="eastAsia" w:ascii="仿宋_GB2312" w:hAnsi="仿宋_GB2312" w:eastAsia="仿宋_GB2312" w:cs="仿宋_GB2312"/>
                <w:b/>
                <w:i w:val="0"/>
                <w:color w:val="auto"/>
                <w:kern w:val="0"/>
                <w:sz w:val="21"/>
                <w:szCs w:val="21"/>
                <w:u w:val="none"/>
                <w:lang w:val="en-US" w:eastAsia="zh-CN" w:bidi="ar"/>
              </w:rPr>
              <w:t>增加值</w:t>
            </w:r>
          </w:p>
        </w:tc>
        <w:tc>
          <w:tcPr>
            <w:tcW w:w="1632"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6C9B3D3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i w:val="0"/>
                <w:color w:val="auto"/>
                <w:sz w:val="21"/>
                <w:szCs w:val="21"/>
                <w:u w:val="none"/>
              </w:rPr>
            </w:pPr>
            <w:r>
              <w:rPr>
                <w:rFonts w:hint="eastAsia" w:ascii="仿宋_GB2312" w:hAnsi="仿宋_GB2312" w:eastAsia="仿宋_GB2312" w:cs="仿宋_GB2312"/>
                <w:b/>
                <w:i w:val="0"/>
                <w:color w:val="auto"/>
                <w:kern w:val="0"/>
                <w:sz w:val="21"/>
                <w:szCs w:val="21"/>
                <w:u w:val="none"/>
                <w:lang w:val="en-US" w:eastAsia="zh-CN" w:bidi="ar"/>
              </w:rPr>
              <w:t>增长率　</w:t>
            </w:r>
          </w:p>
        </w:tc>
        <w:tc>
          <w:tcPr>
            <w:tcW w:w="1308"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4AD8E95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i w:val="0"/>
                <w:color w:val="auto"/>
                <w:sz w:val="21"/>
                <w:szCs w:val="21"/>
                <w:u w:val="none"/>
              </w:rPr>
            </w:pPr>
            <w:r>
              <w:rPr>
                <w:rFonts w:hint="eastAsia" w:ascii="仿宋_GB2312" w:hAnsi="仿宋_GB2312" w:eastAsia="仿宋_GB2312" w:cs="仿宋_GB2312"/>
                <w:b/>
                <w:i w:val="0"/>
                <w:color w:val="auto"/>
                <w:kern w:val="0"/>
                <w:sz w:val="21"/>
                <w:szCs w:val="21"/>
                <w:u w:val="none"/>
                <w:lang w:val="en-US" w:eastAsia="zh-CN" w:bidi="ar"/>
              </w:rPr>
              <w:t>拉动点%</w:t>
            </w:r>
          </w:p>
        </w:tc>
        <w:tc>
          <w:tcPr>
            <w:tcW w:w="1658"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1AB789B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i w:val="0"/>
                <w:color w:val="auto"/>
                <w:sz w:val="21"/>
                <w:szCs w:val="21"/>
                <w:u w:val="none"/>
              </w:rPr>
            </w:pPr>
            <w:r>
              <w:rPr>
                <w:rFonts w:hint="eastAsia" w:ascii="仿宋_GB2312" w:hAnsi="仿宋_GB2312" w:eastAsia="仿宋_GB2312" w:cs="仿宋_GB2312"/>
                <w:b/>
                <w:i w:val="0"/>
                <w:color w:val="auto"/>
                <w:kern w:val="0"/>
                <w:sz w:val="21"/>
                <w:szCs w:val="21"/>
                <w:u w:val="none"/>
                <w:lang w:val="en-US" w:eastAsia="zh-CN" w:bidi="ar"/>
              </w:rPr>
              <w:t>产业结构</w:t>
            </w:r>
          </w:p>
        </w:tc>
      </w:tr>
      <w:tr w14:paraId="3577FCC4">
        <w:tblPrEx>
          <w:tblCellMar>
            <w:top w:w="0" w:type="dxa"/>
            <w:left w:w="0" w:type="dxa"/>
            <w:bottom w:w="0" w:type="dxa"/>
            <w:right w:w="0" w:type="dxa"/>
          </w:tblCellMar>
        </w:tblPrEx>
        <w:trPr>
          <w:trHeight w:val="454" w:hRule="atLeast"/>
        </w:trPr>
        <w:tc>
          <w:tcPr>
            <w:tcW w:w="1955"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057E721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i w:val="0"/>
                <w:color w:val="auto"/>
                <w:sz w:val="21"/>
                <w:szCs w:val="21"/>
                <w:u w:val="none"/>
              </w:rPr>
            </w:pPr>
            <w:r>
              <w:rPr>
                <w:rFonts w:hint="eastAsia" w:ascii="仿宋_GB2312" w:hAnsi="仿宋_GB2312" w:eastAsia="仿宋_GB2312" w:cs="仿宋_GB2312"/>
                <w:b/>
                <w:i w:val="0"/>
                <w:color w:val="auto"/>
                <w:kern w:val="0"/>
                <w:sz w:val="21"/>
                <w:szCs w:val="21"/>
                <w:u w:val="none"/>
                <w:lang w:val="en-US" w:eastAsia="zh-CN" w:bidi="ar"/>
              </w:rPr>
              <w:t>生产总值</w:t>
            </w:r>
          </w:p>
        </w:tc>
        <w:tc>
          <w:tcPr>
            <w:tcW w:w="1442" w:type="dxa"/>
            <w:tcBorders>
              <w:top w:val="nil"/>
              <w:left w:val="nil"/>
              <w:bottom w:val="single" w:color="auto" w:sz="4" w:space="0"/>
              <w:right w:val="single" w:color="auto" w:sz="4" w:space="0"/>
            </w:tcBorders>
            <w:noWrap w:val="0"/>
            <w:tcMar>
              <w:top w:w="15" w:type="dxa"/>
              <w:left w:w="15" w:type="dxa"/>
              <w:right w:w="15" w:type="dxa"/>
            </w:tcMar>
            <w:vAlign w:val="center"/>
          </w:tcPr>
          <w:p w14:paraId="43FAF77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i w:val="0"/>
                <w:color w:val="auto"/>
                <w:sz w:val="21"/>
                <w:szCs w:val="21"/>
                <w:u w:val="none"/>
                <w:lang w:val="en-US" w:eastAsia="zh-CN"/>
              </w:rPr>
            </w:pPr>
            <w:r>
              <w:rPr>
                <w:rFonts w:hint="eastAsia" w:ascii="仿宋_GB2312" w:hAnsi="仿宋_GB2312" w:eastAsia="仿宋_GB2312" w:cs="仿宋_GB2312"/>
                <w:b/>
                <w:i w:val="0"/>
                <w:color w:val="auto"/>
                <w:sz w:val="21"/>
                <w:szCs w:val="21"/>
                <w:u w:val="none"/>
                <w:lang w:val="en-US" w:eastAsia="zh-CN"/>
              </w:rPr>
              <w:t>54.27</w:t>
            </w:r>
          </w:p>
        </w:tc>
        <w:tc>
          <w:tcPr>
            <w:tcW w:w="1632" w:type="dxa"/>
            <w:tcBorders>
              <w:top w:val="nil"/>
              <w:left w:val="nil"/>
              <w:bottom w:val="single" w:color="auto" w:sz="4" w:space="0"/>
              <w:right w:val="single" w:color="auto" w:sz="4" w:space="0"/>
            </w:tcBorders>
            <w:noWrap w:val="0"/>
            <w:tcMar>
              <w:top w:w="15" w:type="dxa"/>
              <w:left w:w="15" w:type="dxa"/>
              <w:right w:w="15" w:type="dxa"/>
            </w:tcMar>
            <w:vAlign w:val="center"/>
          </w:tcPr>
          <w:p w14:paraId="44E5993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i w:val="0"/>
                <w:color w:val="auto"/>
                <w:sz w:val="21"/>
                <w:szCs w:val="21"/>
                <w:u w:val="none"/>
                <w:lang w:val="en-US" w:eastAsia="zh-CN"/>
              </w:rPr>
            </w:pPr>
            <w:r>
              <w:rPr>
                <w:rFonts w:hint="eastAsia" w:ascii="仿宋_GB2312" w:hAnsi="仿宋_GB2312" w:eastAsia="仿宋_GB2312" w:cs="仿宋_GB2312"/>
                <w:b/>
                <w:i w:val="0"/>
                <w:color w:val="auto"/>
                <w:sz w:val="21"/>
                <w:szCs w:val="21"/>
                <w:u w:val="none"/>
                <w:lang w:val="en-US" w:eastAsia="zh-CN"/>
              </w:rPr>
              <w:t>-1.7</w:t>
            </w:r>
          </w:p>
        </w:tc>
        <w:tc>
          <w:tcPr>
            <w:tcW w:w="1308" w:type="dxa"/>
            <w:tcBorders>
              <w:top w:val="nil"/>
              <w:left w:val="nil"/>
              <w:bottom w:val="single" w:color="auto" w:sz="4" w:space="0"/>
              <w:right w:val="single" w:color="auto" w:sz="4" w:space="0"/>
            </w:tcBorders>
            <w:noWrap w:val="0"/>
            <w:tcMar>
              <w:top w:w="15" w:type="dxa"/>
              <w:left w:w="15" w:type="dxa"/>
              <w:right w:w="15" w:type="dxa"/>
            </w:tcMar>
            <w:vAlign w:val="center"/>
          </w:tcPr>
          <w:p w14:paraId="0097937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i w:val="0"/>
                <w:color w:val="auto"/>
                <w:sz w:val="21"/>
                <w:szCs w:val="21"/>
                <w:u w:val="none"/>
                <w:lang w:eastAsia="zh-CN"/>
              </w:rPr>
            </w:pPr>
            <w:r>
              <w:rPr>
                <w:rFonts w:hint="eastAsia" w:ascii="仿宋_GB2312" w:hAnsi="仿宋_GB2312" w:eastAsia="仿宋_GB2312" w:cs="仿宋_GB2312"/>
                <w:b/>
                <w:i w:val="0"/>
                <w:color w:val="auto"/>
                <w:sz w:val="21"/>
                <w:szCs w:val="21"/>
                <w:u w:val="none"/>
                <w:lang w:eastAsia="zh-CN"/>
              </w:rPr>
              <w:t>－</w:t>
            </w:r>
          </w:p>
        </w:tc>
        <w:tc>
          <w:tcPr>
            <w:tcW w:w="1658" w:type="dxa"/>
            <w:tcBorders>
              <w:top w:val="nil"/>
              <w:left w:val="nil"/>
              <w:bottom w:val="single" w:color="auto" w:sz="4" w:space="0"/>
              <w:right w:val="single" w:color="auto" w:sz="4" w:space="0"/>
            </w:tcBorders>
            <w:noWrap w:val="0"/>
            <w:tcMar>
              <w:top w:w="15" w:type="dxa"/>
              <w:left w:w="15" w:type="dxa"/>
              <w:right w:w="15" w:type="dxa"/>
            </w:tcMar>
            <w:vAlign w:val="center"/>
          </w:tcPr>
          <w:p w14:paraId="31961C6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i w:val="0"/>
                <w:color w:val="auto"/>
                <w:sz w:val="21"/>
                <w:szCs w:val="21"/>
                <w:u w:val="none"/>
                <w:lang w:val="en-US" w:eastAsia="zh-CN"/>
              </w:rPr>
            </w:pPr>
            <w:r>
              <w:rPr>
                <w:rFonts w:hint="eastAsia" w:ascii="仿宋_GB2312" w:hAnsi="仿宋_GB2312" w:eastAsia="仿宋_GB2312" w:cs="仿宋_GB2312"/>
                <w:b/>
                <w:i w:val="0"/>
                <w:color w:val="auto"/>
                <w:sz w:val="21"/>
                <w:szCs w:val="21"/>
                <w:u w:val="none"/>
                <w:lang w:val="en-US" w:eastAsia="zh-CN"/>
              </w:rPr>
              <w:t>100</w:t>
            </w:r>
          </w:p>
        </w:tc>
      </w:tr>
      <w:tr w14:paraId="1A7596F0">
        <w:tblPrEx>
          <w:tblCellMar>
            <w:top w:w="0" w:type="dxa"/>
            <w:left w:w="0" w:type="dxa"/>
            <w:bottom w:w="0" w:type="dxa"/>
            <w:right w:w="0" w:type="dxa"/>
          </w:tblCellMar>
        </w:tblPrEx>
        <w:trPr>
          <w:trHeight w:val="424" w:hRule="atLeast"/>
        </w:trPr>
        <w:tc>
          <w:tcPr>
            <w:tcW w:w="1955"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709DD14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i w:val="0"/>
                <w:color w:val="auto"/>
                <w:sz w:val="21"/>
                <w:szCs w:val="21"/>
                <w:u w:val="none"/>
              </w:rPr>
            </w:pPr>
            <w:r>
              <w:rPr>
                <w:rFonts w:hint="eastAsia" w:ascii="仿宋_GB2312" w:hAnsi="仿宋_GB2312" w:eastAsia="仿宋_GB2312" w:cs="仿宋_GB2312"/>
                <w:b/>
                <w:i w:val="0"/>
                <w:color w:val="auto"/>
                <w:kern w:val="0"/>
                <w:sz w:val="21"/>
                <w:szCs w:val="21"/>
                <w:u w:val="none"/>
                <w:lang w:val="en-US" w:eastAsia="zh-CN" w:bidi="ar"/>
              </w:rPr>
              <w:t>第一产业</w:t>
            </w:r>
          </w:p>
        </w:tc>
        <w:tc>
          <w:tcPr>
            <w:tcW w:w="1442" w:type="dxa"/>
            <w:tcBorders>
              <w:top w:val="nil"/>
              <w:left w:val="nil"/>
              <w:bottom w:val="single" w:color="auto" w:sz="4" w:space="0"/>
              <w:right w:val="single" w:color="auto" w:sz="4" w:space="0"/>
            </w:tcBorders>
            <w:noWrap/>
            <w:tcMar>
              <w:top w:w="15" w:type="dxa"/>
              <w:left w:w="15" w:type="dxa"/>
              <w:right w:w="15" w:type="dxa"/>
            </w:tcMar>
            <w:vAlign w:val="center"/>
          </w:tcPr>
          <w:p w14:paraId="01EC7DF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16.01</w:t>
            </w:r>
          </w:p>
        </w:tc>
        <w:tc>
          <w:tcPr>
            <w:tcW w:w="1632" w:type="dxa"/>
            <w:tcBorders>
              <w:top w:val="nil"/>
              <w:left w:val="nil"/>
              <w:bottom w:val="single" w:color="auto" w:sz="4" w:space="0"/>
              <w:right w:val="single" w:color="auto" w:sz="4" w:space="0"/>
            </w:tcBorders>
            <w:noWrap/>
            <w:tcMar>
              <w:top w:w="15" w:type="dxa"/>
              <w:left w:w="15" w:type="dxa"/>
              <w:right w:w="15" w:type="dxa"/>
            </w:tcMar>
            <w:vAlign w:val="center"/>
          </w:tcPr>
          <w:p w14:paraId="1D61310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5.4</w:t>
            </w:r>
          </w:p>
        </w:tc>
        <w:tc>
          <w:tcPr>
            <w:tcW w:w="1308" w:type="dxa"/>
            <w:tcBorders>
              <w:top w:val="nil"/>
              <w:left w:val="nil"/>
              <w:bottom w:val="single" w:color="auto" w:sz="4" w:space="0"/>
              <w:right w:val="single" w:color="auto" w:sz="4" w:space="0"/>
            </w:tcBorders>
            <w:noWrap/>
            <w:tcMar>
              <w:top w:w="15" w:type="dxa"/>
              <w:left w:w="15" w:type="dxa"/>
              <w:right w:w="15" w:type="dxa"/>
            </w:tcMar>
            <w:vAlign w:val="center"/>
          </w:tcPr>
          <w:p w14:paraId="102EFA7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1.28</w:t>
            </w:r>
          </w:p>
        </w:tc>
        <w:tc>
          <w:tcPr>
            <w:tcW w:w="1658" w:type="dxa"/>
            <w:tcBorders>
              <w:top w:val="nil"/>
              <w:left w:val="nil"/>
              <w:bottom w:val="single" w:color="auto" w:sz="4" w:space="0"/>
              <w:right w:val="single" w:color="auto" w:sz="4" w:space="0"/>
            </w:tcBorders>
            <w:noWrap/>
            <w:tcMar>
              <w:top w:w="15" w:type="dxa"/>
              <w:left w:w="15" w:type="dxa"/>
              <w:right w:w="15" w:type="dxa"/>
            </w:tcMar>
            <w:vAlign w:val="center"/>
          </w:tcPr>
          <w:p w14:paraId="3B35D34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29.5</w:t>
            </w:r>
          </w:p>
        </w:tc>
      </w:tr>
      <w:tr w14:paraId="27B6EC00">
        <w:tblPrEx>
          <w:tblCellMar>
            <w:top w:w="0" w:type="dxa"/>
            <w:left w:w="0" w:type="dxa"/>
            <w:bottom w:w="0" w:type="dxa"/>
            <w:right w:w="0" w:type="dxa"/>
          </w:tblCellMar>
        </w:tblPrEx>
        <w:trPr>
          <w:trHeight w:val="448" w:hRule="atLeast"/>
        </w:trPr>
        <w:tc>
          <w:tcPr>
            <w:tcW w:w="1955"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41F4A3C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i w:val="0"/>
                <w:color w:val="auto"/>
                <w:sz w:val="21"/>
                <w:szCs w:val="21"/>
                <w:u w:val="none"/>
              </w:rPr>
            </w:pPr>
            <w:r>
              <w:rPr>
                <w:rFonts w:hint="eastAsia" w:ascii="仿宋_GB2312" w:hAnsi="仿宋_GB2312" w:eastAsia="仿宋_GB2312" w:cs="仿宋_GB2312"/>
                <w:b/>
                <w:i w:val="0"/>
                <w:color w:val="auto"/>
                <w:kern w:val="0"/>
                <w:sz w:val="21"/>
                <w:szCs w:val="21"/>
                <w:u w:val="none"/>
                <w:lang w:val="en-US" w:eastAsia="zh-CN" w:bidi="ar"/>
              </w:rPr>
              <w:t>第二产业</w:t>
            </w:r>
          </w:p>
        </w:tc>
        <w:tc>
          <w:tcPr>
            <w:tcW w:w="1442" w:type="dxa"/>
            <w:tcBorders>
              <w:top w:val="nil"/>
              <w:left w:val="nil"/>
              <w:bottom w:val="single" w:color="auto" w:sz="4" w:space="0"/>
              <w:right w:val="single" w:color="auto" w:sz="4" w:space="0"/>
            </w:tcBorders>
            <w:noWrap/>
            <w:tcMar>
              <w:top w:w="15" w:type="dxa"/>
              <w:left w:w="15" w:type="dxa"/>
              <w:right w:w="15" w:type="dxa"/>
            </w:tcMar>
            <w:vAlign w:val="center"/>
          </w:tcPr>
          <w:p w14:paraId="70182FF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20.94</w:t>
            </w:r>
          </w:p>
        </w:tc>
        <w:tc>
          <w:tcPr>
            <w:tcW w:w="1632" w:type="dxa"/>
            <w:tcBorders>
              <w:top w:val="nil"/>
              <w:left w:val="nil"/>
              <w:bottom w:val="single" w:color="auto" w:sz="4" w:space="0"/>
              <w:right w:val="single" w:color="auto" w:sz="4" w:space="0"/>
            </w:tcBorders>
            <w:noWrap/>
            <w:tcMar>
              <w:top w:w="15" w:type="dxa"/>
              <w:left w:w="15" w:type="dxa"/>
              <w:right w:w="15" w:type="dxa"/>
            </w:tcMar>
            <w:vAlign w:val="center"/>
          </w:tcPr>
          <w:p w14:paraId="10564DD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-9.9</w:t>
            </w:r>
          </w:p>
        </w:tc>
        <w:tc>
          <w:tcPr>
            <w:tcW w:w="1308" w:type="dxa"/>
            <w:tcBorders>
              <w:top w:val="nil"/>
              <w:left w:val="nil"/>
              <w:bottom w:val="single" w:color="auto" w:sz="4" w:space="0"/>
              <w:right w:val="single" w:color="auto" w:sz="4" w:space="0"/>
            </w:tcBorders>
            <w:noWrap/>
            <w:tcMar>
              <w:top w:w="15" w:type="dxa"/>
              <w:left w:w="15" w:type="dxa"/>
              <w:right w:w="15" w:type="dxa"/>
            </w:tcMar>
            <w:vAlign w:val="center"/>
          </w:tcPr>
          <w:p w14:paraId="7EC594C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-4.19</w:t>
            </w:r>
          </w:p>
        </w:tc>
        <w:tc>
          <w:tcPr>
            <w:tcW w:w="1658" w:type="dxa"/>
            <w:tcBorders>
              <w:top w:val="nil"/>
              <w:left w:val="nil"/>
              <w:bottom w:val="single" w:color="auto" w:sz="4" w:space="0"/>
              <w:right w:val="single" w:color="auto" w:sz="4" w:space="0"/>
            </w:tcBorders>
            <w:noWrap/>
            <w:tcMar>
              <w:top w:w="15" w:type="dxa"/>
              <w:left w:w="15" w:type="dxa"/>
              <w:right w:w="15" w:type="dxa"/>
            </w:tcMar>
            <w:vAlign w:val="center"/>
          </w:tcPr>
          <w:p w14:paraId="53AB8FB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38.6</w:t>
            </w:r>
          </w:p>
        </w:tc>
      </w:tr>
      <w:tr w14:paraId="02BB62A6">
        <w:tblPrEx>
          <w:tblCellMar>
            <w:top w:w="0" w:type="dxa"/>
            <w:left w:w="0" w:type="dxa"/>
            <w:bottom w:w="0" w:type="dxa"/>
            <w:right w:w="0" w:type="dxa"/>
          </w:tblCellMar>
        </w:tblPrEx>
        <w:trPr>
          <w:trHeight w:val="525" w:hRule="atLeast"/>
        </w:trPr>
        <w:tc>
          <w:tcPr>
            <w:tcW w:w="1955"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42E1A9B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i w:val="0"/>
                <w:color w:val="auto"/>
                <w:sz w:val="21"/>
                <w:szCs w:val="21"/>
                <w:u w:val="none"/>
              </w:rPr>
            </w:pPr>
            <w:r>
              <w:rPr>
                <w:rFonts w:hint="eastAsia" w:ascii="仿宋_GB2312" w:hAnsi="仿宋_GB2312" w:eastAsia="仿宋_GB2312" w:cs="仿宋_GB2312"/>
                <w:b/>
                <w:i w:val="0"/>
                <w:color w:val="auto"/>
                <w:kern w:val="0"/>
                <w:sz w:val="21"/>
                <w:szCs w:val="21"/>
                <w:u w:val="none"/>
                <w:lang w:val="en-US" w:eastAsia="zh-CN" w:bidi="ar"/>
              </w:rPr>
              <w:t>第三产业</w:t>
            </w:r>
          </w:p>
        </w:tc>
        <w:tc>
          <w:tcPr>
            <w:tcW w:w="1442" w:type="dxa"/>
            <w:tcBorders>
              <w:top w:val="nil"/>
              <w:left w:val="nil"/>
              <w:bottom w:val="single" w:color="auto" w:sz="4" w:space="0"/>
              <w:right w:val="single" w:color="auto" w:sz="4" w:space="0"/>
            </w:tcBorders>
            <w:noWrap/>
            <w:tcMar>
              <w:top w:w="15" w:type="dxa"/>
              <w:left w:w="15" w:type="dxa"/>
              <w:right w:w="15" w:type="dxa"/>
            </w:tcMar>
            <w:vAlign w:val="center"/>
          </w:tcPr>
          <w:p w14:paraId="061EECF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17.33</w:t>
            </w:r>
          </w:p>
        </w:tc>
        <w:tc>
          <w:tcPr>
            <w:tcW w:w="1632" w:type="dxa"/>
            <w:tcBorders>
              <w:top w:val="nil"/>
              <w:left w:val="nil"/>
              <w:bottom w:val="single" w:color="auto" w:sz="4" w:space="0"/>
              <w:right w:val="single" w:color="auto" w:sz="4" w:space="0"/>
            </w:tcBorders>
            <w:noWrap/>
            <w:tcMar>
              <w:top w:w="15" w:type="dxa"/>
              <w:left w:w="15" w:type="dxa"/>
              <w:right w:w="15" w:type="dxa"/>
            </w:tcMar>
            <w:vAlign w:val="center"/>
          </w:tcPr>
          <w:p w14:paraId="2DC75AD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3.4</w:t>
            </w:r>
          </w:p>
        </w:tc>
        <w:tc>
          <w:tcPr>
            <w:tcW w:w="1308" w:type="dxa"/>
            <w:tcBorders>
              <w:top w:val="nil"/>
              <w:left w:val="nil"/>
              <w:bottom w:val="single" w:color="auto" w:sz="4" w:space="0"/>
              <w:right w:val="single" w:color="auto" w:sz="4" w:space="0"/>
            </w:tcBorders>
            <w:noWrap/>
            <w:tcMar>
              <w:top w:w="15" w:type="dxa"/>
              <w:left w:w="15" w:type="dxa"/>
              <w:right w:w="15" w:type="dxa"/>
            </w:tcMar>
            <w:vAlign w:val="center"/>
          </w:tcPr>
          <w:p w14:paraId="12D07EA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1.22</w:t>
            </w:r>
          </w:p>
        </w:tc>
        <w:tc>
          <w:tcPr>
            <w:tcW w:w="1658" w:type="dxa"/>
            <w:tcBorders>
              <w:top w:val="nil"/>
              <w:left w:val="nil"/>
              <w:bottom w:val="single" w:color="auto" w:sz="4" w:space="0"/>
              <w:right w:val="single" w:color="auto" w:sz="4" w:space="0"/>
            </w:tcBorders>
            <w:noWrap/>
            <w:tcMar>
              <w:top w:w="15" w:type="dxa"/>
              <w:left w:w="15" w:type="dxa"/>
              <w:right w:w="15" w:type="dxa"/>
            </w:tcMar>
            <w:vAlign w:val="center"/>
          </w:tcPr>
          <w:p w14:paraId="07467C7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31.9</w:t>
            </w:r>
          </w:p>
        </w:tc>
      </w:tr>
    </w:tbl>
    <w:p w14:paraId="543042D7">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eastAsia="zh-CN"/>
        </w:rPr>
        <w:t>经地区统计局统一核算反馈</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1-9月，</w:t>
      </w:r>
      <w:r>
        <w:rPr>
          <w:rFonts w:hint="eastAsia" w:ascii="仿宋_GB2312" w:hAnsi="仿宋_GB2312" w:eastAsia="仿宋_GB2312" w:cs="仿宋_GB2312"/>
          <w:color w:val="auto"/>
          <w:spacing w:val="0"/>
          <w:sz w:val="32"/>
          <w:szCs w:val="32"/>
          <w:lang w:eastAsia="zh-CN"/>
        </w:rPr>
        <w:t>全县完成地区生产总值</w:t>
      </w:r>
      <w:r>
        <w:rPr>
          <w:rFonts w:hint="eastAsia" w:ascii="仿宋_GB2312" w:hAnsi="仿宋_GB2312" w:eastAsia="仿宋_GB2312" w:cs="仿宋_GB2312"/>
          <w:color w:val="auto"/>
          <w:spacing w:val="0"/>
          <w:sz w:val="32"/>
          <w:szCs w:val="32"/>
          <w:lang w:val="en-US" w:eastAsia="zh-CN"/>
        </w:rPr>
        <w:t>54.27亿元，同比下降1.7%（按不变价计算，下同）。其中，第一产业增加值16.01亿元，同比增长5.4%，</w:t>
      </w:r>
      <w:r>
        <w:rPr>
          <w:rFonts w:hint="eastAsia" w:ascii="仿宋_GB2312" w:hAnsi="仿宋_GB2312" w:eastAsia="仿宋_GB2312" w:cs="仿宋_GB2312"/>
          <w:color w:val="auto"/>
          <w:spacing w:val="0"/>
          <w:sz w:val="32"/>
          <w:szCs w:val="32"/>
          <w:highlight w:val="none"/>
          <w:lang w:val="en-US" w:eastAsia="zh-CN"/>
        </w:rPr>
        <w:t>拉动增长1.28个百分点；第二产业增加</w:t>
      </w:r>
      <w:bookmarkStart w:id="0" w:name="_GoBack"/>
      <w:bookmarkEnd w:id="0"/>
      <w:r>
        <w:rPr>
          <w:rFonts w:hint="eastAsia" w:ascii="仿宋_GB2312" w:hAnsi="仿宋_GB2312" w:eastAsia="仿宋_GB2312" w:cs="仿宋_GB2312"/>
          <w:color w:val="auto"/>
          <w:spacing w:val="0"/>
          <w:sz w:val="32"/>
          <w:szCs w:val="32"/>
          <w:highlight w:val="none"/>
          <w:lang w:val="en-US" w:eastAsia="zh-CN"/>
        </w:rPr>
        <w:t>值20.94亿元，同比下降9.8%，下拉4.19个百分点；第三产业增加值17.33亿元，同比增长3.4%，拉动增长1.22个百分点；三次产业结构为29.5</w:t>
      </w:r>
      <w:r>
        <w:rPr>
          <w:rFonts w:hint="eastAsia" w:ascii="仿宋_GB2312" w:hAnsi="仿宋_GB2312" w:eastAsia="仿宋_GB2312" w:cs="仿宋_GB2312"/>
          <w:color w:val="auto"/>
          <w:spacing w:val="0"/>
          <w:sz w:val="32"/>
          <w:szCs w:val="32"/>
          <w:lang w:val="en-US" w:eastAsia="zh-CN"/>
        </w:rPr>
        <w:t>:38.6:31.9。</w:t>
      </w:r>
    </w:p>
    <w:p w14:paraId="35E0CFA1">
      <w:pPr>
        <w:pageBreakBefore w:val="0"/>
        <w:kinsoku/>
        <w:wordWrap/>
        <w:overflowPunct/>
        <w:topLinePunct w:val="0"/>
        <w:autoSpaceDE/>
        <w:autoSpaceDN/>
        <w:bidi w:val="0"/>
        <w:adjustRightInd/>
        <w:snapToGrid/>
        <w:spacing w:line="560" w:lineRule="exact"/>
        <w:ind w:firstLine="1205" w:firstLineChars="400"/>
        <w:jc w:val="left"/>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1-9月全县地区</w:t>
      </w:r>
      <w:r>
        <w:rPr>
          <w:rFonts w:hint="eastAsia" w:ascii="仿宋_GB2312" w:hAnsi="仿宋_GB2312" w:eastAsia="仿宋_GB2312" w:cs="仿宋_GB2312"/>
          <w:b/>
          <w:bCs/>
          <w:color w:val="auto"/>
          <w:sz w:val="30"/>
          <w:szCs w:val="30"/>
          <w:lang w:eastAsia="zh-CN"/>
        </w:rPr>
        <w:t>生产总值分产业完成情况表</w:t>
      </w:r>
    </w:p>
    <w:tbl>
      <w:tblPr>
        <w:tblStyle w:val="7"/>
        <w:tblW w:w="813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73"/>
        <w:gridCol w:w="1256"/>
        <w:gridCol w:w="1200"/>
        <w:gridCol w:w="1320"/>
        <w:gridCol w:w="1080"/>
        <w:gridCol w:w="1408"/>
      </w:tblGrid>
      <w:tr w14:paraId="7C9FC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37" w:type="dxa"/>
            <w:gridSpan w:val="6"/>
            <w:tcBorders>
              <w:top w:val="nil"/>
              <w:left w:val="nil"/>
              <w:bottom w:val="single" w:color="auto" w:sz="4" w:space="0"/>
              <w:right w:val="nil"/>
            </w:tcBorders>
            <w:noWrap/>
            <w:vAlign w:val="center"/>
          </w:tcPr>
          <w:p w14:paraId="68E5A2C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b/>
                <w:bCs/>
                <w:color w:val="auto"/>
                <w:sz w:val="30"/>
                <w:szCs w:val="30"/>
                <w:lang w:val="en-US" w:eastAsia="zh-CN"/>
              </w:rPr>
              <w:t>三季度分行业增加值完成情况表</w:t>
            </w:r>
          </w:p>
        </w:tc>
      </w:tr>
      <w:tr w14:paraId="0362C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1873" w:type="dxa"/>
            <w:tcBorders>
              <w:top w:val="single" w:color="auto" w:sz="4" w:space="0"/>
              <w:left w:val="single" w:color="auto" w:sz="4" w:space="0"/>
              <w:bottom w:val="single" w:color="auto" w:sz="4" w:space="0"/>
              <w:right w:val="single" w:color="auto" w:sz="4" w:space="0"/>
            </w:tcBorders>
            <w:noWrap w:val="0"/>
            <w:vAlign w:val="center"/>
          </w:tcPr>
          <w:p w14:paraId="7C177DAF">
            <w:pPr>
              <w:pageBreakBefore w:val="0"/>
              <w:kinsoku/>
              <w:wordWrap/>
              <w:overflowPunct/>
              <w:topLinePunct w:val="0"/>
              <w:autoSpaceDE/>
              <w:autoSpaceDN/>
              <w:bidi w:val="0"/>
              <w:adjustRightInd/>
              <w:snapToGrid/>
              <w:spacing w:line="560" w:lineRule="exact"/>
              <w:jc w:val="left"/>
              <w:rPr>
                <w:rFonts w:hint="eastAsia" w:ascii="仿宋_GB2312" w:hAnsi="仿宋_GB2312" w:eastAsia="仿宋_GB2312" w:cs="仿宋_GB2312"/>
                <w:b/>
                <w:bCs/>
                <w:i w:val="0"/>
                <w:iCs w:val="0"/>
                <w:color w:val="000000"/>
                <w:sz w:val="21"/>
                <w:szCs w:val="21"/>
                <w:u w:val="none"/>
              </w:rPr>
            </w:pPr>
          </w:p>
        </w:tc>
        <w:tc>
          <w:tcPr>
            <w:tcW w:w="1256" w:type="dxa"/>
            <w:tcBorders>
              <w:top w:val="single" w:color="auto" w:sz="4" w:space="0"/>
              <w:left w:val="single" w:color="auto" w:sz="4" w:space="0"/>
              <w:bottom w:val="single" w:color="auto" w:sz="4" w:space="0"/>
              <w:right w:val="single" w:color="auto" w:sz="4" w:space="0"/>
            </w:tcBorders>
            <w:noWrap w:val="0"/>
            <w:vAlign w:val="center"/>
          </w:tcPr>
          <w:p w14:paraId="3BE6353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绝对值</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286F4B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增速%</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8DA05C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比重%</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B0C43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贡献率%</w:t>
            </w:r>
          </w:p>
        </w:tc>
        <w:tc>
          <w:tcPr>
            <w:tcW w:w="1408" w:type="dxa"/>
            <w:tcBorders>
              <w:top w:val="single" w:color="auto" w:sz="4" w:space="0"/>
              <w:left w:val="single" w:color="auto" w:sz="4" w:space="0"/>
              <w:bottom w:val="single" w:color="auto" w:sz="4" w:space="0"/>
              <w:right w:val="single" w:color="auto" w:sz="4" w:space="0"/>
            </w:tcBorders>
            <w:noWrap w:val="0"/>
            <w:vAlign w:val="center"/>
          </w:tcPr>
          <w:p w14:paraId="73C8BDB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拉动点</w:t>
            </w:r>
          </w:p>
        </w:tc>
      </w:tr>
      <w:tr w14:paraId="6D1DA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1873" w:type="dxa"/>
            <w:tcBorders>
              <w:top w:val="single" w:color="auto" w:sz="4" w:space="0"/>
              <w:left w:val="single" w:color="auto" w:sz="4" w:space="0"/>
              <w:bottom w:val="single" w:color="auto" w:sz="4" w:space="0"/>
              <w:right w:val="single" w:color="auto" w:sz="4" w:space="0"/>
            </w:tcBorders>
            <w:noWrap/>
            <w:vAlign w:val="center"/>
          </w:tcPr>
          <w:p w14:paraId="0AAB66C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生产总值</w:t>
            </w:r>
          </w:p>
        </w:tc>
        <w:tc>
          <w:tcPr>
            <w:tcW w:w="1256" w:type="dxa"/>
            <w:tcBorders>
              <w:top w:val="single" w:color="auto" w:sz="4" w:space="0"/>
              <w:left w:val="single" w:color="auto" w:sz="4" w:space="0"/>
              <w:bottom w:val="single" w:color="auto" w:sz="4" w:space="0"/>
              <w:right w:val="single" w:color="auto" w:sz="4" w:space="0"/>
            </w:tcBorders>
            <w:noWrap/>
            <w:vAlign w:val="center"/>
          </w:tcPr>
          <w:p w14:paraId="6937705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542746</w:t>
            </w:r>
          </w:p>
        </w:tc>
        <w:tc>
          <w:tcPr>
            <w:tcW w:w="1200" w:type="dxa"/>
            <w:tcBorders>
              <w:top w:val="single" w:color="auto" w:sz="4" w:space="0"/>
              <w:left w:val="single" w:color="auto" w:sz="4" w:space="0"/>
              <w:bottom w:val="single" w:color="auto" w:sz="4" w:space="0"/>
              <w:right w:val="single" w:color="auto" w:sz="4" w:space="0"/>
            </w:tcBorders>
            <w:noWrap/>
            <w:vAlign w:val="center"/>
          </w:tcPr>
          <w:p w14:paraId="4097459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-1.7 </w:t>
            </w:r>
          </w:p>
        </w:tc>
        <w:tc>
          <w:tcPr>
            <w:tcW w:w="1320" w:type="dxa"/>
            <w:tcBorders>
              <w:top w:val="single" w:color="auto" w:sz="4" w:space="0"/>
              <w:left w:val="single" w:color="auto" w:sz="4" w:space="0"/>
              <w:bottom w:val="single" w:color="auto" w:sz="4" w:space="0"/>
              <w:right w:val="single" w:color="auto" w:sz="4" w:space="0"/>
            </w:tcBorders>
            <w:noWrap/>
            <w:vAlign w:val="center"/>
          </w:tcPr>
          <w:p w14:paraId="64572ED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100 </w:t>
            </w:r>
          </w:p>
        </w:tc>
        <w:tc>
          <w:tcPr>
            <w:tcW w:w="1080" w:type="dxa"/>
            <w:tcBorders>
              <w:top w:val="single" w:color="auto" w:sz="4" w:space="0"/>
              <w:left w:val="single" w:color="auto" w:sz="4" w:space="0"/>
              <w:bottom w:val="single" w:color="auto" w:sz="4" w:space="0"/>
              <w:right w:val="single" w:color="auto" w:sz="4" w:space="0"/>
            </w:tcBorders>
            <w:noWrap/>
            <w:vAlign w:val="center"/>
          </w:tcPr>
          <w:p w14:paraId="5ABCD79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100 </w:t>
            </w:r>
          </w:p>
        </w:tc>
        <w:tc>
          <w:tcPr>
            <w:tcW w:w="1408" w:type="dxa"/>
            <w:tcBorders>
              <w:top w:val="single" w:color="auto" w:sz="4" w:space="0"/>
              <w:left w:val="single" w:color="auto" w:sz="4" w:space="0"/>
              <w:bottom w:val="single" w:color="auto" w:sz="4" w:space="0"/>
              <w:right w:val="single" w:color="auto" w:sz="4" w:space="0"/>
            </w:tcBorders>
            <w:noWrap/>
            <w:vAlign w:val="center"/>
          </w:tcPr>
          <w:p w14:paraId="22E81150">
            <w:pPr>
              <w:pageBreakBefore w:val="0"/>
              <w:kinsoku/>
              <w:wordWrap/>
              <w:overflowPunct/>
              <w:topLinePunct w:val="0"/>
              <w:autoSpaceDE/>
              <w:autoSpaceDN/>
              <w:bidi w:val="0"/>
              <w:adjustRightInd/>
              <w:snapToGrid/>
              <w:spacing w:line="560" w:lineRule="exact"/>
              <w:jc w:val="left"/>
              <w:rPr>
                <w:rFonts w:hint="eastAsia" w:ascii="仿宋_GB2312" w:hAnsi="仿宋_GB2312" w:eastAsia="仿宋_GB2312" w:cs="仿宋_GB2312"/>
                <w:b/>
                <w:bCs/>
                <w:i w:val="0"/>
                <w:iCs w:val="0"/>
                <w:color w:val="000000"/>
                <w:sz w:val="21"/>
                <w:szCs w:val="21"/>
                <w:u w:val="none"/>
              </w:rPr>
            </w:pPr>
          </w:p>
        </w:tc>
      </w:tr>
      <w:tr w14:paraId="13008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trPr>
        <w:tc>
          <w:tcPr>
            <w:tcW w:w="1873" w:type="dxa"/>
            <w:tcBorders>
              <w:top w:val="single" w:color="auto" w:sz="4" w:space="0"/>
              <w:left w:val="single" w:color="auto" w:sz="4" w:space="0"/>
              <w:bottom w:val="single" w:color="auto" w:sz="4" w:space="0"/>
              <w:right w:val="single" w:color="auto" w:sz="4" w:space="0"/>
            </w:tcBorders>
            <w:noWrap/>
            <w:vAlign w:val="center"/>
          </w:tcPr>
          <w:p w14:paraId="1DDE687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一、农林牧渔业</w:t>
            </w:r>
          </w:p>
        </w:tc>
        <w:tc>
          <w:tcPr>
            <w:tcW w:w="1256" w:type="dxa"/>
            <w:tcBorders>
              <w:top w:val="single" w:color="auto" w:sz="4" w:space="0"/>
              <w:left w:val="single" w:color="auto" w:sz="4" w:space="0"/>
              <w:bottom w:val="single" w:color="auto" w:sz="4" w:space="0"/>
              <w:right w:val="single" w:color="auto" w:sz="4" w:space="0"/>
            </w:tcBorders>
            <w:noWrap/>
            <w:vAlign w:val="center"/>
          </w:tcPr>
          <w:p w14:paraId="3076F62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162002 </w:t>
            </w:r>
          </w:p>
        </w:tc>
        <w:tc>
          <w:tcPr>
            <w:tcW w:w="1200" w:type="dxa"/>
            <w:tcBorders>
              <w:top w:val="single" w:color="auto" w:sz="4" w:space="0"/>
              <w:left w:val="single" w:color="auto" w:sz="4" w:space="0"/>
              <w:bottom w:val="single" w:color="auto" w:sz="4" w:space="0"/>
              <w:right w:val="single" w:color="auto" w:sz="4" w:space="0"/>
            </w:tcBorders>
            <w:noWrap/>
            <w:vAlign w:val="center"/>
          </w:tcPr>
          <w:p w14:paraId="1A75949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5.5 </w:t>
            </w:r>
          </w:p>
        </w:tc>
        <w:tc>
          <w:tcPr>
            <w:tcW w:w="1320" w:type="dxa"/>
            <w:tcBorders>
              <w:top w:val="single" w:color="auto" w:sz="4" w:space="0"/>
              <w:left w:val="single" w:color="auto" w:sz="4" w:space="0"/>
              <w:bottom w:val="single" w:color="auto" w:sz="4" w:space="0"/>
              <w:right w:val="single" w:color="auto" w:sz="4" w:space="0"/>
            </w:tcBorders>
            <w:noWrap/>
            <w:vAlign w:val="center"/>
          </w:tcPr>
          <w:p w14:paraId="640AB68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29.8 </w:t>
            </w:r>
          </w:p>
        </w:tc>
        <w:tc>
          <w:tcPr>
            <w:tcW w:w="1080" w:type="dxa"/>
            <w:tcBorders>
              <w:top w:val="single" w:color="auto" w:sz="4" w:space="0"/>
              <w:left w:val="single" w:color="auto" w:sz="4" w:space="0"/>
              <w:bottom w:val="single" w:color="auto" w:sz="4" w:space="0"/>
              <w:right w:val="single" w:color="auto" w:sz="4" w:space="0"/>
            </w:tcBorders>
            <w:noWrap/>
            <w:vAlign w:val="center"/>
          </w:tcPr>
          <w:p w14:paraId="6D5DA00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77.03 </w:t>
            </w:r>
          </w:p>
        </w:tc>
        <w:tc>
          <w:tcPr>
            <w:tcW w:w="1408" w:type="dxa"/>
            <w:tcBorders>
              <w:top w:val="single" w:color="auto" w:sz="4" w:space="0"/>
              <w:left w:val="single" w:color="auto" w:sz="4" w:space="0"/>
              <w:bottom w:val="single" w:color="auto" w:sz="4" w:space="0"/>
              <w:right w:val="single" w:color="auto" w:sz="4" w:space="0"/>
            </w:tcBorders>
            <w:noWrap/>
            <w:vAlign w:val="center"/>
          </w:tcPr>
          <w:p w14:paraId="1756E81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1.28 </w:t>
            </w:r>
          </w:p>
        </w:tc>
      </w:tr>
      <w:tr w14:paraId="00AAE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73" w:type="dxa"/>
            <w:tcBorders>
              <w:top w:val="single" w:color="auto" w:sz="4" w:space="0"/>
              <w:left w:val="single" w:color="auto" w:sz="4" w:space="0"/>
              <w:bottom w:val="single" w:color="auto" w:sz="4" w:space="0"/>
              <w:right w:val="single" w:color="auto" w:sz="4" w:space="0"/>
            </w:tcBorders>
            <w:noWrap/>
            <w:vAlign w:val="center"/>
          </w:tcPr>
          <w:p w14:paraId="5051139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二、工业</w:t>
            </w:r>
          </w:p>
        </w:tc>
        <w:tc>
          <w:tcPr>
            <w:tcW w:w="1256" w:type="dxa"/>
            <w:tcBorders>
              <w:top w:val="single" w:color="auto" w:sz="4" w:space="0"/>
              <w:left w:val="single" w:color="auto" w:sz="4" w:space="0"/>
              <w:bottom w:val="single" w:color="auto" w:sz="4" w:space="0"/>
              <w:right w:val="single" w:color="auto" w:sz="4" w:space="0"/>
            </w:tcBorders>
            <w:noWrap/>
            <w:vAlign w:val="center"/>
          </w:tcPr>
          <w:p w14:paraId="126000E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201019 </w:t>
            </w:r>
          </w:p>
        </w:tc>
        <w:tc>
          <w:tcPr>
            <w:tcW w:w="1200" w:type="dxa"/>
            <w:tcBorders>
              <w:top w:val="single" w:color="auto" w:sz="4" w:space="0"/>
              <w:left w:val="single" w:color="auto" w:sz="4" w:space="0"/>
              <w:bottom w:val="single" w:color="auto" w:sz="4" w:space="0"/>
              <w:right w:val="single" w:color="auto" w:sz="4" w:space="0"/>
            </w:tcBorders>
            <w:noWrap/>
            <w:vAlign w:val="center"/>
          </w:tcPr>
          <w:p w14:paraId="1DB1392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lang w:val="en-US"/>
              </w:rPr>
            </w:pPr>
            <w:r>
              <w:rPr>
                <w:rFonts w:hint="eastAsia" w:ascii="仿宋_GB2312" w:hAnsi="仿宋_GB2312" w:eastAsia="仿宋_GB2312" w:cs="仿宋_GB2312"/>
                <w:b/>
                <w:bCs/>
                <w:i w:val="0"/>
                <w:iCs w:val="0"/>
                <w:color w:val="000000"/>
                <w:kern w:val="0"/>
                <w:sz w:val="21"/>
                <w:szCs w:val="21"/>
                <w:u w:val="none"/>
                <w:lang w:val="en-US" w:eastAsia="zh-CN" w:bidi="ar"/>
              </w:rPr>
              <w:t>-10.4</w:t>
            </w:r>
          </w:p>
        </w:tc>
        <w:tc>
          <w:tcPr>
            <w:tcW w:w="1320" w:type="dxa"/>
            <w:tcBorders>
              <w:top w:val="single" w:color="auto" w:sz="4" w:space="0"/>
              <w:left w:val="single" w:color="auto" w:sz="4" w:space="0"/>
              <w:bottom w:val="single" w:color="auto" w:sz="4" w:space="0"/>
              <w:right w:val="single" w:color="auto" w:sz="4" w:space="0"/>
            </w:tcBorders>
            <w:noWrap/>
            <w:vAlign w:val="center"/>
          </w:tcPr>
          <w:p w14:paraId="69F4F5C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37.0 </w:t>
            </w:r>
          </w:p>
        </w:tc>
        <w:tc>
          <w:tcPr>
            <w:tcW w:w="1080" w:type="dxa"/>
            <w:tcBorders>
              <w:top w:val="single" w:color="auto" w:sz="4" w:space="0"/>
              <w:left w:val="single" w:color="auto" w:sz="4" w:space="0"/>
              <w:bottom w:val="single" w:color="auto" w:sz="4" w:space="0"/>
              <w:right w:val="single" w:color="auto" w:sz="4" w:space="0"/>
            </w:tcBorders>
            <w:noWrap/>
            <w:vAlign w:val="center"/>
          </w:tcPr>
          <w:p w14:paraId="2DA7F7B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-252.44 </w:t>
            </w:r>
          </w:p>
        </w:tc>
        <w:tc>
          <w:tcPr>
            <w:tcW w:w="1408" w:type="dxa"/>
            <w:tcBorders>
              <w:top w:val="single" w:color="auto" w:sz="4" w:space="0"/>
              <w:left w:val="single" w:color="auto" w:sz="4" w:space="0"/>
              <w:bottom w:val="single" w:color="auto" w:sz="4" w:space="0"/>
              <w:right w:val="single" w:color="auto" w:sz="4" w:space="0"/>
            </w:tcBorders>
            <w:noWrap/>
            <w:vAlign w:val="center"/>
          </w:tcPr>
          <w:p w14:paraId="0CBF397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-4.19 </w:t>
            </w:r>
          </w:p>
        </w:tc>
      </w:tr>
      <w:tr w14:paraId="683EC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73" w:type="dxa"/>
            <w:tcBorders>
              <w:top w:val="single" w:color="auto" w:sz="4" w:space="0"/>
              <w:left w:val="single" w:color="auto" w:sz="4" w:space="0"/>
              <w:bottom w:val="single" w:color="auto" w:sz="4" w:space="0"/>
              <w:right w:val="single" w:color="auto" w:sz="4" w:space="0"/>
            </w:tcBorders>
            <w:noWrap/>
            <w:vAlign w:val="center"/>
          </w:tcPr>
          <w:p w14:paraId="0617899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其中：采矿</w:t>
            </w:r>
          </w:p>
        </w:tc>
        <w:tc>
          <w:tcPr>
            <w:tcW w:w="1256" w:type="dxa"/>
            <w:tcBorders>
              <w:top w:val="single" w:color="auto" w:sz="4" w:space="0"/>
              <w:left w:val="single" w:color="auto" w:sz="4" w:space="0"/>
              <w:bottom w:val="single" w:color="auto" w:sz="4" w:space="0"/>
              <w:right w:val="single" w:color="auto" w:sz="4" w:space="0"/>
            </w:tcBorders>
            <w:noWrap/>
            <w:vAlign w:val="center"/>
          </w:tcPr>
          <w:p w14:paraId="5BE93C0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81740 </w:t>
            </w:r>
          </w:p>
        </w:tc>
        <w:tc>
          <w:tcPr>
            <w:tcW w:w="1200" w:type="dxa"/>
            <w:tcBorders>
              <w:top w:val="single" w:color="auto" w:sz="4" w:space="0"/>
              <w:left w:val="single" w:color="auto" w:sz="4" w:space="0"/>
              <w:bottom w:val="single" w:color="auto" w:sz="4" w:space="0"/>
              <w:right w:val="single" w:color="auto" w:sz="4" w:space="0"/>
            </w:tcBorders>
            <w:noWrap/>
            <w:vAlign w:val="center"/>
          </w:tcPr>
          <w:p w14:paraId="7770F5C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-7.8 </w:t>
            </w:r>
          </w:p>
        </w:tc>
        <w:tc>
          <w:tcPr>
            <w:tcW w:w="1320" w:type="dxa"/>
            <w:tcBorders>
              <w:top w:val="single" w:color="auto" w:sz="4" w:space="0"/>
              <w:left w:val="single" w:color="auto" w:sz="4" w:space="0"/>
              <w:bottom w:val="single" w:color="auto" w:sz="4" w:space="0"/>
              <w:right w:val="single" w:color="auto" w:sz="4" w:space="0"/>
            </w:tcBorders>
            <w:noWrap/>
            <w:vAlign w:val="center"/>
          </w:tcPr>
          <w:p w14:paraId="3ABC3AA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15.1 </w:t>
            </w:r>
          </w:p>
        </w:tc>
        <w:tc>
          <w:tcPr>
            <w:tcW w:w="1080" w:type="dxa"/>
            <w:tcBorders>
              <w:top w:val="single" w:color="auto" w:sz="4" w:space="0"/>
              <w:left w:val="single" w:color="auto" w:sz="4" w:space="0"/>
              <w:bottom w:val="single" w:color="auto" w:sz="4" w:space="0"/>
              <w:right w:val="single" w:color="auto" w:sz="4" w:space="0"/>
            </w:tcBorders>
            <w:noWrap/>
            <w:vAlign w:val="center"/>
          </w:tcPr>
          <w:p w14:paraId="47F6963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66.17 </w:t>
            </w:r>
          </w:p>
        </w:tc>
        <w:tc>
          <w:tcPr>
            <w:tcW w:w="1408" w:type="dxa"/>
            <w:tcBorders>
              <w:top w:val="single" w:color="auto" w:sz="4" w:space="0"/>
              <w:left w:val="single" w:color="auto" w:sz="4" w:space="0"/>
              <w:bottom w:val="single" w:color="auto" w:sz="4" w:space="0"/>
              <w:right w:val="single" w:color="auto" w:sz="4" w:space="0"/>
            </w:tcBorders>
            <w:noWrap/>
            <w:vAlign w:val="center"/>
          </w:tcPr>
          <w:p w14:paraId="3490F4C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-1.10 </w:t>
            </w:r>
          </w:p>
        </w:tc>
      </w:tr>
      <w:tr w14:paraId="5FD55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73" w:type="dxa"/>
            <w:tcBorders>
              <w:top w:val="single" w:color="auto" w:sz="4" w:space="0"/>
              <w:left w:val="single" w:color="auto" w:sz="4" w:space="0"/>
              <w:bottom w:val="single" w:color="auto" w:sz="4" w:space="0"/>
              <w:right w:val="single" w:color="auto" w:sz="4" w:space="0"/>
            </w:tcBorders>
            <w:noWrap/>
            <w:vAlign w:val="center"/>
          </w:tcPr>
          <w:p w14:paraId="6E60F23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#开采辅助活动</w:t>
            </w:r>
          </w:p>
        </w:tc>
        <w:tc>
          <w:tcPr>
            <w:tcW w:w="1256" w:type="dxa"/>
            <w:tcBorders>
              <w:top w:val="single" w:color="auto" w:sz="4" w:space="0"/>
              <w:left w:val="single" w:color="auto" w:sz="4" w:space="0"/>
              <w:bottom w:val="single" w:color="auto" w:sz="4" w:space="0"/>
              <w:right w:val="single" w:color="auto" w:sz="4" w:space="0"/>
            </w:tcBorders>
            <w:noWrap/>
            <w:vAlign w:val="center"/>
          </w:tcPr>
          <w:p w14:paraId="26125D0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746 </w:t>
            </w:r>
          </w:p>
        </w:tc>
        <w:tc>
          <w:tcPr>
            <w:tcW w:w="1200" w:type="dxa"/>
            <w:tcBorders>
              <w:top w:val="single" w:color="auto" w:sz="4" w:space="0"/>
              <w:left w:val="single" w:color="auto" w:sz="4" w:space="0"/>
              <w:bottom w:val="single" w:color="auto" w:sz="4" w:space="0"/>
              <w:right w:val="single" w:color="auto" w:sz="4" w:space="0"/>
            </w:tcBorders>
            <w:noWrap/>
            <w:vAlign w:val="center"/>
          </w:tcPr>
          <w:p w14:paraId="5DEE20C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38.1 </w:t>
            </w:r>
          </w:p>
        </w:tc>
        <w:tc>
          <w:tcPr>
            <w:tcW w:w="1320" w:type="dxa"/>
            <w:tcBorders>
              <w:top w:val="single" w:color="auto" w:sz="4" w:space="0"/>
              <w:left w:val="single" w:color="auto" w:sz="4" w:space="0"/>
              <w:bottom w:val="single" w:color="auto" w:sz="4" w:space="0"/>
              <w:right w:val="single" w:color="auto" w:sz="4" w:space="0"/>
            </w:tcBorders>
            <w:noWrap/>
            <w:vAlign w:val="center"/>
          </w:tcPr>
          <w:p w14:paraId="2B753EE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0.1 </w:t>
            </w:r>
          </w:p>
        </w:tc>
        <w:tc>
          <w:tcPr>
            <w:tcW w:w="1080" w:type="dxa"/>
            <w:tcBorders>
              <w:top w:val="single" w:color="auto" w:sz="4" w:space="0"/>
              <w:left w:val="single" w:color="auto" w:sz="4" w:space="0"/>
              <w:bottom w:val="single" w:color="auto" w:sz="4" w:space="0"/>
              <w:right w:val="single" w:color="auto" w:sz="4" w:space="0"/>
            </w:tcBorders>
            <w:noWrap/>
            <w:vAlign w:val="center"/>
          </w:tcPr>
          <w:p w14:paraId="5F82865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2.36 </w:t>
            </w:r>
          </w:p>
        </w:tc>
        <w:tc>
          <w:tcPr>
            <w:tcW w:w="1408" w:type="dxa"/>
            <w:tcBorders>
              <w:top w:val="single" w:color="auto" w:sz="4" w:space="0"/>
              <w:left w:val="single" w:color="auto" w:sz="4" w:space="0"/>
              <w:bottom w:val="single" w:color="auto" w:sz="4" w:space="0"/>
              <w:right w:val="single" w:color="auto" w:sz="4" w:space="0"/>
            </w:tcBorders>
            <w:noWrap/>
            <w:vAlign w:val="center"/>
          </w:tcPr>
          <w:p w14:paraId="79BCC9B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0.04 </w:t>
            </w:r>
          </w:p>
        </w:tc>
      </w:tr>
      <w:tr w14:paraId="5EAD0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73" w:type="dxa"/>
            <w:tcBorders>
              <w:top w:val="single" w:color="auto" w:sz="4" w:space="0"/>
              <w:left w:val="single" w:color="auto" w:sz="4" w:space="0"/>
              <w:bottom w:val="single" w:color="auto" w:sz="4" w:space="0"/>
              <w:right w:val="single" w:color="auto" w:sz="4" w:space="0"/>
            </w:tcBorders>
            <w:noWrap/>
            <w:vAlign w:val="center"/>
          </w:tcPr>
          <w:p w14:paraId="207895E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制造</w:t>
            </w:r>
          </w:p>
        </w:tc>
        <w:tc>
          <w:tcPr>
            <w:tcW w:w="1256" w:type="dxa"/>
            <w:tcBorders>
              <w:top w:val="single" w:color="auto" w:sz="4" w:space="0"/>
              <w:left w:val="single" w:color="auto" w:sz="4" w:space="0"/>
              <w:bottom w:val="single" w:color="auto" w:sz="4" w:space="0"/>
              <w:right w:val="single" w:color="auto" w:sz="4" w:space="0"/>
            </w:tcBorders>
            <w:noWrap/>
            <w:vAlign w:val="center"/>
          </w:tcPr>
          <w:p w14:paraId="63056FD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20478 </w:t>
            </w:r>
          </w:p>
        </w:tc>
        <w:tc>
          <w:tcPr>
            <w:tcW w:w="1200" w:type="dxa"/>
            <w:tcBorders>
              <w:top w:val="single" w:color="auto" w:sz="4" w:space="0"/>
              <w:left w:val="single" w:color="auto" w:sz="4" w:space="0"/>
              <w:bottom w:val="single" w:color="auto" w:sz="4" w:space="0"/>
              <w:right w:val="single" w:color="auto" w:sz="4" w:space="0"/>
            </w:tcBorders>
            <w:noWrap/>
            <w:vAlign w:val="center"/>
          </w:tcPr>
          <w:p w14:paraId="15DF7E4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19.2 </w:t>
            </w:r>
          </w:p>
        </w:tc>
        <w:tc>
          <w:tcPr>
            <w:tcW w:w="1320" w:type="dxa"/>
            <w:tcBorders>
              <w:top w:val="single" w:color="auto" w:sz="4" w:space="0"/>
              <w:left w:val="single" w:color="auto" w:sz="4" w:space="0"/>
              <w:bottom w:val="single" w:color="auto" w:sz="4" w:space="0"/>
              <w:right w:val="single" w:color="auto" w:sz="4" w:space="0"/>
            </w:tcBorders>
            <w:noWrap/>
            <w:vAlign w:val="center"/>
          </w:tcPr>
          <w:p w14:paraId="35AF2B8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3.8 </w:t>
            </w:r>
          </w:p>
        </w:tc>
        <w:tc>
          <w:tcPr>
            <w:tcW w:w="1080" w:type="dxa"/>
            <w:tcBorders>
              <w:top w:val="single" w:color="auto" w:sz="4" w:space="0"/>
              <w:left w:val="single" w:color="auto" w:sz="4" w:space="0"/>
              <w:bottom w:val="single" w:color="auto" w:sz="4" w:space="0"/>
              <w:right w:val="single" w:color="auto" w:sz="4" w:space="0"/>
            </w:tcBorders>
            <w:noWrap/>
            <w:vAlign w:val="center"/>
          </w:tcPr>
          <w:p w14:paraId="2B63AAC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42.76 </w:t>
            </w:r>
          </w:p>
        </w:tc>
        <w:tc>
          <w:tcPr>
            <w:tcW w:w="1408" w:type="dxa"/>
            <w:tcBorders>
              <w:top w:val="single" w:color="auto" w:sz="4" w:space="0"/>
              <w:left w:val="single" w:color="auto" w:sz="4" w:space="0"/>
              <w:bottom w:val="single" w:color="auto" w:sz="4" w:space="0"/>
              <w:right w:val="single" w:color="auto" w:sz="4" w:space="0"/>
            </w:tcBorders>
            <w:noWrap/>
            <w:vAlign w:val="center"/>
          </w:tcPr>
          <w:p w14:paraId="322EA40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0.71 </w:t>
            </w:r>
          </w:p>
        </w:tc>
      </w:tr>
      <w:tr w14:paraId="470C1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73" w:type="dxa"/>
            <w:tcBorders>
              <w:top w:val="single" w:color="auto" w:sz="4" w:space="0"/>
              <w:left w:val="single" w:color="auto" w:sz="4" w:space="0"/>
              <w:bottom w:val="single" w:color="auto" w:sz="4" w:space="0"/>
              <w:right w:val="single" w:color="auto" w:sz="4" w:space="0"/>
            </w:tcBorders>
            <w:noWrap/>
            <w:vAlign w:val="center"/>
          </w:tcPr>
          <w:p w14:paraId="5534BA1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电力燃气</w:t>
            </w:r>
          </w:p>
        </w:tc>
        <w:tc>
          <w:tcPr>
            <w:tcW w:w="1256" w:type="dxa"/>
            <w:tcBorders>
              <w:top w:val="single" w:color="auto" w:sz="4" w:space="0"/>
              <w:left w:val="single" w:color="auto" w:sz="4" w:space="0"/>
              <w:bottom w:val="single" w:color="auto" w:sz="4" w:space="0"/>
              <w:right w:val="single" w:color="auto" w:sz="4" w:space="0"/>
            </w:tcBorders>
            <w:noWrap/>
            <w:vAlign w:val="center"/>
          </w:tcPr>
          <w:p w14:paraId="4096151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98802 </w:t>
            </w:r>
          </w:p>
        </w:tc>
        <w:tc>
          <w:tcPr>
            <w:tcW w:w="1200" w:type="dxa"/>
            <w:tcBorders>
              <w:top w:val="single" w:color="auto" w:sz="4" w:space="0"/>
              <w:left w:val="single" w:color="auto" w:sz="4" w:space="0"/>
              <w:bottom w:val="single" w:color="auto" w:sz="4" w:space="0"/>
              <w:right w:val="single" w:color="auto" w:sz="4" w:space="0"/>
            </w:tcBorders>
            <w:noWrap/>
            <w:vAlign w:val="center"/>
          </w:tcPr>
          <w:p w14:paraId="4C9D625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-17.0 </w:t>
            </w:r>
          </w:p>
        </w:tc>
        <w:tc>
          <w:tcPr>
            <w:tcW w:w="1320" w:type="dxa"/>
            <w:tcBorders>
              <w:top w:val="single" w:color="auto" w:sz="4" w:space="0"/>
              <w:left w:val="single" w:color="auto" w:sz="4" w:space="0"/>
              <w:bottom w:val="single" w:color="auto" w:sz="4" w:space="0"/>
              <w:right w:val="single" w:color="auto" w:sz="4" w:space="0"/>
            </w:tcBorders>
            <w:noWrap/>
            <w:vAlign w:val="center"/>
          </w:tcPr>
          <w:p w14:paraId="0EEF949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18.2 </w:t>
            </w:r>
          </w:p>
        </w:tc>
        <w:tc>
          <w:tcPr>
            <w:tcW w:w="1080" w:type="dxa"/>
            <w:tcBorders>
              <w:top w:val="single" w:color="auto" w:sz="4" w:space="0"/>
              <w:left w:val="single" w:color="auto" w:sz="4" w:space="0"/>
              <w:bottom w:val="single" w:color="auto" w:sz="4" w:space="0"/>
              <w:right w:val="single" w:color="auto" w:sz="4" w:space="0"/>
            </w:tcBorders>
            <w:noWrap/>
            <w:vAlign w:val="center"/>
          </w:tcPr>
          <w:p w14:paraId="5EB2280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-229.03 </w:t>
            </w:r>
          </w:p>
        </w:tc>
        <w:tc>
          <w:tcPr>
            <w:tcW w:w="1408" w:type="dxa"/>
            <w:tcBorders>
              <w:top w:val="single" w:color="auto" w:sz="4" w:space="0"/>
              <w:left w:val="single" w:color="auto" w:sz="4" w:space="0"/>
              <w:bottom w:val="single" w:color="auto" w:sz="4" w:space="0"/>
              <w:right w:val="single" w:color="auto" w:sz="4" w:space="0"/>
            </w:tcBorders>
            <w:noWrap/>
            <w:vAlign w:val="center"/>
          </w:tcPr>
          <w:p w14:paraId="72049B7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-3.80 </w:t>
            </w:r>
          </w:p>
        </w:tc>
      </w:tr>
      <w:tr w14:paraId="7327D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73" w:type="dxa"/>
            <w:tcBorders>
              <w:top w:val="single" w:color="auto" w:sz="4" w:space="0"/>
              <w:left w:val="single" w:color="auto" w:sz="4" w:space="0"/>
              <w:bottom w:val="single" w:color="auto" w:sz="4" w:space="0"/>
              <w:right w:val="single" w:color="auto" w:sz="4" w:space="0"/>
            </w:tcBorders>
            <w:noWrap/>
            <w:vAlign w:val="center"/>
          </w:tcPr>
          <w:p w14:paraId="7585E88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三、建筑业</w:t>
            </w:r>
          </w:p>
        </w:tc>
        <w:tc>
          <w:tcPr>
            <w:tcW w:w="1256" w:type="dxa"/>
            <w:tcBorders>
              <w:top w:val="single" w:color="auto" w:sz="4" w:space="0"/>
              <w:left w:val="single" w:color="auto" w:sz="4" w:space="0"/>
              <w:bottom w:val="single" w:color="auto" w:sz="4" w:space="0"/>
              <w:right w:val="single" w:color="auto" w:sz="4" w:space="0"/>
            </w:tcBorders>
            <w:noWrap/>
            <w:vAlign w:val="center"/>
          </w:tcPr>
          <w:p w14:paraId="5B534DF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9130 </w:t>
            </w:r>
          </w:p>
        </w:tc>
        <w:tc>
          <w:tcPr>
            <w:tcW w:w="1200" w:type="dxa"/>
            <w:tcBorders>
              <w:top w:val="single" w:color="auto" w:sz="4" w:space="0"/>
              <w:left w:val="single" w:color="auto" w:sz="4" w:space="0"/>
              <w:bottom w:val="single" w:color="auto" w:sz="4" w:space="0"/>
              <w:right w:val="single" w:color="auto" w:sz="4" w:space="0"/>
            </w:tcBorders>
            <w:noWrap/>
            <w:vAlign w:val="center"/>
          </w:tcPr>
          <w:p w14:paraId="4690F7A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7.4 </w:t>
            </w:r>
          </w:p>
        </w:tc>
        <w:tc>
          <w:tcPr>
            <w:tcW w:w="1320" w:type="dxa"/>
            <w:tcBorders>
              <w:top w:val="single" w:color="auto" w:sz="4" w:space="0"/>
              <w:left w:val="single" w:color="auto" w:sz="4" w:space="0"/>
              <w:bottom w:val="single" w:color="auto" w:sz="4" w:space="0"/>
              <w:right w:val="single" w:color="auto" w:sz="4" w:space="0"/>
            </w:tcBorders>
            <w:noWrap/>
            <w:vAlign w:val="center"/>
          </w:tcPr>
          <w:p w14:paraId="50C920A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1.7 </w:t>
            </w:r>
          </w:p>
        </w:tc>
        <w:tc>
          <w:tcPr>
            <w:tcW w:w="1080" w:type="dxa"/>
            <w:tcBorders>
              <w:top w:val="single" w:color="auto" w:sz="4" w:space="0"/>
              <w:left w:val="single" w:color="auto" w:sz="4" w:space="0"/>
              <w:bottom w:val="single" w:color="auto" w:sz="4" w:space="0"/>
              <w:right w:val="single" w:color="auto" w:sz="4" w:space="0"/>
            </w:tcBorders>
            <w:noWrap/>
            <w:vAlign w:val="center"/>
          </w:tcPr>
          <w:p w14:paraId="54EEF60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-8.15 </w:t>
            </w:r>
          </w:p>
        </w:tc>
        <w:tc>
          <w:tcPr>
            <w:tcW w:w="1408" w:type="dxa"/>
            <w:tcBorders>
              <w:top w:val="single" w:color="auto" w:sz="4" w:space="0"/>
              <w:left w:val="single" w:color="auto" w:sz="4" w:space="0"/>
              <w:bottom w:val="single" w:color="auto" w:sz="4" w:space="0"/>
              <w:right w:val="single" w:color="auto" w:sz="4" w:space="0"/>
            </w:tcBorders>
            <w:noWrap/>
            <w:vAlign w:val="center"/>
          </w:tcPr>
          <w:p w14:paraId="72B8D53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0.14 </w:t>
            </w:r>
          </w:p>
        </w:tc>
      </w:tr>
      <w:tr w14:paraId="317D0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73" w:type="dxa"/>
            <w:tcBorders>
              <w:top w:val="single" w:color="auto" w:sz="4" w:space="0"/>
              <w:left w:val="single" w:color="auto" w:sz="4" w:space="0"/>
              <w:bottom w:val="single" w:color="auto" w:sz="4" w:space="0"/>
              <w:right w:val="single" w:color="auto" w:sz="4" w:space="0"/>
            </w:tcBorders>
            <w:noWrap/>
            <w:vAlign w:val="center"/>
          </w:tcPr>
          <w:p w14:paraId="4CBC7F5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四、批发零售</w:t>
            </w:r>
          </w:p>
        </w:tc>
        <w:tc>
          <w:tcPr>
            <w:tcW w:w="1256" w:type="dxa"/>
            <w:tcBorders>
              <w:top w:val="single" w:color="auto" w:sz="4" w:space="0"/>
              <w:left w:val="single" w:color="auto" w:sz="4" w:space="0"/>
              <w:bottom w:val="single" w:color="auto" w:sz="4" w:space="0"/>
              <w:right w:val="single" w:color="auto" w:sz="4" w:space="0"/>
            </w:tcBorders>
            <w:noWrap/>
            <w:vAlign w:val="center"/>
          </w:tcPr>
          <w:p w14:paraId="05E0FDD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5338 </w:t>
            </w:r>
          </w:p>
        </w:tc>
        <w:tc>
          <w:tcPr>
            <w:tcW w:w="1200" w:type="dxa"/>
            <w:tcBorders>
              <w:top w:val="single" w:color="auto" w:sz="4" w:space="0"/>
              <w:left w:val="single" w:color="auto" w:sz="4" w:space="0"/>
              <w:bottom w:val="single" w:color="auto" w:sz="4" w:space="0"/>
              <w:right w:val="single" w:color="auto" w:sz="4" w:space="0"/>
            </w:tcBorders>
            <w:noWrap/>
            <w:vAlign w:val="center"/>
          </w:tcPr>
          <w:p w14:paraId="2B95EC3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15.5 </w:t>
            </w:r>
          </w:p>
        </w:tc>
        <w:tc>
          <w:tcPr>
            <w:tcW w:w="1320" w:type="dxa"/>
            <w:tcBorders>
              <w:top w:val="single" w:color="auto" w:sz="4" w:space="0"/>
              <w:left w:val="single" w:color="auto" w:sz="4" w:space="0"/>
              <w:bottom w:val="single" w:color="auto" w:sz="4" w:space="0"/>
              <w:right w:val="single" w:color="auto" w:sz="4" w:space="0"/>
            </w:tcBorders>
            <w:noWrap/>
            <w:vAlign w:val="center"/>
          </w:tcPr>
          <w:p w14:paraId="2BF24E3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1.0 </w:t>
            </w:r>
          </w:p>
        </w:tc>
        <w:tc>
          <w:tcPr>
            <w:tcW w:w="1080" w:type="dxa"/>
            <w:tcBorders>
              <w:top w:val="single" w:color="auto" w:sz="4" w:space="0"/>
              <w:left w:val="single" w:color="auto" w:sz="4" w:space="0"/>
              <w:bottom w:val="single" w:color="auto" w:sz="4" w:space="0"/>
              <w:right w:val="single" w:color="auto" w:sz="4" w:space="0"/>
            </w:tcBorders>
            <w:noWrap/>
            <w:vAlign w:val="center"/>
          </w:tcPr>
          <w:p w14:paraId="11018B9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-9.18 </w:t>
            </w:r>
          </w:p>
        </w:tc>
        <w:tc>
          <w:tcPr>
            <w:tcW w:w="1408" w:type="dxa"/>
            <w:tcBorders>
              <w:top w:val="single" w:color="auto" w:sz="4" w:space="0"/>
              <w:left w:val="single" w:color="auto" w:sz="4" w:space="0"/>
              <w:bottom w:val="single" w:color="auto" w:sz="4" w:space="0"/>
              <w:right w:val="single" w:color="auto" w:sz="4" w:space="0"/>
            </w:tcBorders>
            <w:noWrap/>
            <w:vAlign w:val="center"/>
          </w:tcPr>
          <w:p w14:paraId="3494A6C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0.15 </w:t>
            </w:r>
          </w:p>
        </w:tc>
      </w:tr>
      <w:tr w14:paraId="29CAB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73" w:type="dxa"/>
            <w:tcBorders>
              <w:top w:val="single" w:color="auto" w:sz="4" w:space="0"/>
              <w:left w:val="single" w:color="auto" w:sz="4" w:space="0"/>
              <w:bottom w:val="single" w:color="auto" w:sz="4" w:space="0"/>
              <w:right w:val="single" w:color="auto" w:sz="4" w:space="0"/>
            </w:tcBorders>
            <w:noWrap/>
            <w:vAlign w:val="center"/>
          </w:tcPr>
          <w:p w14:paraId="35C4E85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五、交通运输仓储</w:t>
            </w:r>
          </w:p>
        </w:tc>
        <w:tc>
          <w:tcPr>
            <w:tcW w:w="1256" w:type="dxa"/>
            <w:tcBorders>
              <w:top w:val="single" w:color="auto" w:sz="4" w:space="0"/>
              <w:left w:val="single" w:color="auto" w:sz="4" w:space="0"/>
              <w:bottom w:val="single" w:color="auto" w:sz="4" w:space="0"/>
              <w:right w:val="single" w:color="auto" w:sz="4" w:space="0"/>
            </w:tcBorders>
            <w:noWrap/>
            <w:vAlign w:val="center"/>
          </w:tcPr>
          <w:p w14:paraId="174D947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13789 </w:t>
            </w:r>
          </w:p>
        </w:tc>
        <w:tc>
          <w:tcPr>
            <w:tcW w:w="1200" w:type="dxa"/>
            <w:tcBorders>
              <w:top w:val="single" w:color="auto" w:sz="4" w:space="0"/>
              <w:left w:val="single" w:color="auto" w:sz="4" w:space="0"/>
              <w:bottom w:val="single" w:color="auto" w:sz="4" w:space="0"/>
              <w:right w:val="single" w:color="auto" w:sz="4" w:space="0"/>
            </w:tcBorders>
            <w:noWrap/>
            <w:vAlign w:val="center"/>
          </w:tcPr>
          <w:p w14:paraId="762B8BF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4.9 </w:t>
            </w:r>
          </w:p>
        </w:tc>
        <w:tc>
          <w:tcPr>
            <w:tcW w:w="1320" w:type="dxa"/>
            <w:tcBorders>
              <w:top w:val="single" w:color="auto" w:sz="4" w:space="0"/>
              <w:left w:val="single" w:color="auto" w:sz="4" w:space="0"/>
              <w:bottom w:val="single" w:color="auto" w:sz="4" w:space="0"/>
              <w:right w:val="single" w:color="auto" w:sz="4" w:space="0"/>
            </w:tcBorders>
            <w:noWrap/>
            <w:vAlign w:val="center"/>
          </w:tcPr>
          <w:p w14:paraId="25557FF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2.5 </w:t>
            </w:r>
          </w:p>
        </w:tc>
        <w:tc>
          <w:tcPr>
            <w:tcW w:w="1080" w:type="dxa"/>
            <w:tcBorders>
              <w:top w:val="single" w:color="auto" w:sz="4" w:space="0"/>
              <w:left w:val="single" w:color="auto" w:sz="4" w:space="0"/>
              <w:bottom w:val="single" w:color="auto" w:sz="4" w:space="0"/>
              <w:right w:val="single" w:color="auto" w:sz="4" w:space="0"/>
            </w:tcBorders>
            <w:noWrap/>
            <w:vAlign w:val="center"/>
          </w:tcPr>
          <w:p w14:paraId="695BEB8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-6.83 </w:t>
            </w:r>
          </w:p>
        </w:tc>
        <w:tc>
          <w:tcPr>
            <w:tcW w:w="1408" w:type="dxa"/>
            <w:tcBorders>
              <w:top w:val="single" w:color="auto" w:sz="4" w:space="0"/>
              <w:left w:val="single" w:color="auto" w:sz="4" w:space="0"/>
              <w:bottom w:val="single" w:color="auto" w:sz="4" w:space="0"/>
              <w:right w:val="single" w:color="auto" w:sz="4" w:space="0"/>
            </w:tcBorders>
            <w:noWrap/>
            <w:vAlign w:val="center"/>
          </w:tcPr>
          <w:p w14:paraId="7796D4E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0.11 </w:t>
            </w:r>
          </w:p>
        </w:tc>
      </w:tr>
      <w:tr w14:paraId="29B16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1873" w:type="dxa"/>
            <w:tcBorders>
              <w:top w:val="single" w:color="auto" w:sz="4" w:space="0"/>
              <w:left w:val="single" w:color="auto" w:sz="4" w:space="0"/>
              <w:bottom w:val="single" w:color="auto" w:sz="4" w:space="0"/>
              <w:right w:val="single" w:color="auto" w:sz="4" w:space="0"/>
            </w:tcBorders>
            <w:noWrap/>
            <w:vAlign w:val="center"/>
          </w:tcPr>
          <w:p w14:paraId="02BC384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六、住宿餐饮</w:t>
            </w:r>
          </w:p>
        </w:tc>
        <w:tc>
          <w:tcPr>
            <w:tcW w:w="1256" w:type="dxa"/>
            <w:tcBorders>
              <w:top w:val="single" w:color="auto" w:sz="4" w:space="0"/>
              <w:left w:val="single" w:color="auto" w:sz="4" w:space="0"/>
              <w:bottom w:val="single" w:color="auto" w:sz="4" w:space="0"/>
              <w:right w:val="single" w:color="auto" w:sz="4" w:space="0"/>
            </w:tcBorders>
            <w:noWrap/>
            <w:vAlign w:val="center"/>
          </w:tcPr>
          <w:p w14:paraId="6C7A64E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173 </w:t>
            </w:r>
          </w:p>
        </w:tc>
        <w:tc>
          <w:tcPr>
            <w:tcW w:w="1200" w:type="dxa"/>
            <w:tcBorders>
              <w:top w:val="single" w:color="auto" w:sz="4" w:space="0"/>
              <w:left w:val="single" w:color="auto" w:sz="4" w:space="0"/>
              <w:bottom w:val="single" w:color="auto" w:sz="4" w:space="0"/>
              <w:right w:val="single" w:color="auto" w:sz="4" w:space="0"/>
            </w:tcBorders>
            <w:noWrap/>
            <w:vAlign w:val="center"/>
          </w:tcPr>
          <w:p w14:paraId="372CC08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-3.2 </w:t>
            </w:r>
          </w:p>
        </w:tc>
        <w:tc>
          <w:tcPr>
            <w:tcW w:w="1320" w:type="dxa"/>
            <w:tcBorders>
              <w:top w:val="single" w:color="auto" w:sz="4" w:space="0"/>
              <w:left w:val="single" w:color="auto" w:sz="4" w:space="0"/>
              <w:bottom w:val="single" w:color="auto" w:sz="4" w:space="0"/>
              <w:right w:val="single" w:color="auto" w:sz="4" w:space="0"/>
            </w:tcBorders>
            <w:noWrap/>
            <w:vAlign w:val="center"/>
          </w:tcPr>
          <w:p w14:paraId="646EA1E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0.0 </w:t>
            </w:r>
          </w:p>
        </w:tc>
        <w:tc>
          <w:tcPr>
            <w:tcW w:w="1080" w:type="dxa"/>
            <w:tcBorders>
              <w:top w:val="single" w:color="auto" w:sz="4" w:space="0"/>
              <w:left w:val="single" w:color="auto" w:sz="4" w:space="0"/>
              <w:bottom w:val="single" w:color="auto" w:sz="4" w:space="0"/>
              <w:right w:val="single" w:color="auto" w:sz="4" w:space="0"/>
            </w:tcBorders>
            <w:noWrap/>
            <w:vAlign w:val="center"/>
          </w:tcPr>
          <w:p w14:paraId="4B80640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0.08 </w:t>
            </w:r>
          </w:p>
        </w:tc>
        <w:tc>
          <w:tcPr>
            <w:tcW w:w="1408" w:type="dxa"/>
            <w:tcBorders>
              <w:top w:val="single" w:color="auto" w:sz="4" w:space="0"/>
              <w:left w:val="single" w:color="auto" w:sz="4" w:space="0"/>
              <w:bottom w:val="single" w:color="auto" w:sz="4" w:space="0"/>
              <w:right w:val="single" w:color="auto" w:sz="4" w:space="0"/>
            </w:tcBorders>
            <w:noWrap/>
            <w:vAlign w:val="center"/>
          </w:tcPr>
          <w:p w14:paraId="279218F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0.00 </w:t>
            </w:r>
          </w:p>
        </w:tc>
      </w:tr>
      <w:tr w14:paraId="5CEF8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trPr>
        <w:tc>
          <w:tcPr>
            <w:tcW w:w="1873" w:type="dxa"/>
            <w:tcBorders>
              <w:top w:val="single" w:color="auto" w:sz="4" w:space="0"/>
              <w:left w:val="single" w:color="auto" w:sz="4" w:space="0"/>
              <w:bottom w:val="single" w:color="auto" w:sz="4" w:space="0"/>
              <w:right w:val="single" w:color="auto" w:sz="4" w:space="0"/>
            </w:tcBorders>
            <w:noWrap/>
            <w:vAlign w:val="center"/>
          </w:tcPr>
          <w:p w14:paraId="5C6231B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七、金融</w:t>
            </w:r>
          </w:p>
        </w:tc>
        <w:tc>
          <w:tcPr>
            <w:tcW w:w="1256" w:type="dxa"/>
            <w:tcBorders>
              <w:top w:val="single" w:color="auto" w:sz="4" w:space="0"/>
              <w:left w:val="single" w:color="auto" w:sz="4" w:space="0"/>
              <w:bottom w:val="single" w:color="auto" w:sz="4" w:space="0"/>
              <w:right w:val="single" w:color="auto" w:sz="4" w:space="0"/>
            </w:tcBorders>
            <w:noWrap/>
            <w:vAlign w:val="center"/>
          </w:tcPr>
          <w:p w14:paraId="1D58E8A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9623 </w:t>
            </w:r>
          </w:p>
        </w:tc>
        <w:tc>
          <w:tcPr>
            <w:tcW w:w="1200" w:type="dxa"/>
            <w:tcBorders>
              <w:top w:val="single" w:color="auto" w:sz="4" w:space="0"/>
              <w:left w:val="single" w:color="auto" w:sz="4" w:space="0"/>
              <w:bottom w:val="single" w:color="auto" w:sz="4" w:space="0"/>
              <w:right w:val="single" w:color="auto" w:sz="4" w:space="0"/>
            </w:tcBorders>
            <w:noWrap/>
            <w:vAlign w:val="center"/>
          </w:tcPr>
          <w:p w14:paraId="0DE052C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1.5 </w:t>
            </w:r>
          </w:p>
        </w:tc>
        <w:tc>
          <w:tcPr>
            <w:tcW w:w="1320" w:type="dxa"/>
            <w:tcBorders>
              <w:top w:val="single" w:color="auto" w:sz="4" w:space="0"/>
              <w:left w:val="single" w:color="auto" w:sz="4" w:space="0"/>
              <w:bottom w:val="single" w:color="auto" w:sz="4" w:space="0"/>
              <w:right w:val="single" w:color="auto" w:sz="4" w:space="0"/>
            </w:tcBorders>
            <w:noWrap/>
            <w:vAlign w:val="center"/>
          </w:tcPr>
          <w:p w14:paraId="582A234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1.8 </w:t>
            </w:r>
          </w:p>
        </w:tc>
        <w:tc>
          <w:tcPr>
            <w:tcW w:w="1080" w:type="dxa"/>
            <w:tcBorders>
              <w:top w:val="single" w:color="auto" w:sz="4" w:space="0"/>
              <w:left w:val="single" w:color="auto" w:sz="4" w:space="0"/>
              <w:bottom w:val="single" w:color="auto" w:sz="4" w:space="0"/>
              <w:right w:val="single" w:color="auto" w:sz="4" w:space="0"/>
            </w:tcBorders>
            <w:noWrap/>
            <w:vAlign w:val="center"/>
          </w:tcPr>
          <w:p w14:paraId="1E03C73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-1.80 </w:t>
            </w:r>
          </w:p>
        </w:tc>
        <w:tc>
          <w:tcPr>
            <w:tcW w:w="1408" w:type="dxa"/>
            <w:tcBorders>
              <w:top w:val="single" w:color="auto" w:sz="4" w:space="0"/>
              <w:left w:val="single" w:color="auto" w:sz="4" w:space="0"/>
              <w:bottom w:val="single" w:color="auto" w:sz="4" w:space="0"/>
              <w:right w:val="single" w:color="auto" w:sz="4" w:space="0"/>
            </w:tcBorders>
            <w:noWrap/>
            <w:vAlign w:val="center"/>
          </w:tcPr>
          <w:p w14:paraId="5236BE8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0.03 </w:t>
            </w:r>
          </w:p>
        </w:tc>
      </w:tr>
      <w:tr w14:paraId="333E0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1873" w:type="dxa"/>
            <w:tcBorders>
              <w:top w:val="single" w:color="auto" w:sz="4" w:space="0"/>
              <w:left w:val="single" w:color="auto" w:sz="4" w:space="0"/>
              <w:bottom w:val="single" w:color="auto" w:sz="4" w:space="0"/>
              <w:right w:val="single" w:color="auto" w:sz="4" w:space="0"/>
            </w:tcBorders>
            <w:noWrap/>
            <w:vAlign w:val="center"/>
          </w:tcPr>
          <w:p w14:paraId="1FA00E9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八、房地产</w:t>
            </w:r>
          </w:p>
        </w:tc>
        <w:tc>
          <w:tcPr>
            <w:tcW w:w="1256" w:type="dxa"/>
            <w:tcBorders>
              <w:top w:val="single" w:color="auto" w:sz="4" w:space="0"/>
              <w:left w:val="single" w:color="auto" w:sz="4" w:space="0"/>
              <w:bottom w:val="single" w:color="auto" w:sz="4" w:space="0"/>
              <w:right w:val="single" w:color="auto" w:sz="4" w:space="0"/>
            </w:tcBorders>
            <w:noWrap/>
            <w:vAlign w:val="center"/>
          </w:tcPr>
          <w:p w14:paraId="4819AE7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33196 </w:t>
            </w:r>
          </w:p>
        </w:tc>
        <w:tc>
          <w:tcPr>
            <w:tcW w:w="1200" w:type="dxa"/>
            <w:tcBorders>
              <w:top w:val="single" w:color="auto" w:sz="4" w:space="0"/>
              <w:left w:val="single" w:color="auto" w:sz="4" w:space="0"/>
              <w:bottom w:val="single" w:color="auto" w:sz="4" w:space="0"/>
              <w:right w:val="single" w:color="auto" w:sz="4" w:space="0"/>
            </w:tcBorders>
            <w:noWrap/>
            <w:vAlign w:val="center"/>
          </w:tcPr>
          <w:p w14:paraId="6EBF494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3.0 </w:t>
            </w:r>
          </w:p>
        </w:tc>
        <w:tc>
          <w:tcPr>
            <w:tcW w:w="1320" w:type="dxa"/>
            <w:tcBorders>
              <w:top w:val="single" w:color="auto" w:sz="4" w:space="0"/>
              <w:left w:val="single" w:color="auto" w:sz="4" w:space="0"/>
              <w:bottom w:val="single" w:color="auto" w:sz="4" w:space="0"/>
              <w:right w:val="single" w:color="auto" w:sz="4" w:space="0"/>
            </w:tcBorders>
            <w:noWrap/>
            <w:vAlign w:val="center"/>
          </w:tcPr>
          <w:p w14:paraId="0B1D600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6.1 </w:t>
            </w:r>
          </w:p>
        </w:tc>
        <w:tc>
          <w:tcPr>
            <w:tcW w:w="1080" w:type="dxa"/>
            <w:tcBorders>
              <w:top w:val="single" w:color="auto" w:sz="4" w:space="0"/>
              <w:left w:val="single" w:color="auto" w:sz="4" w:space="0"/>
              <w:bottom w:val="single" w:color="auto" w:sz="4" w:space="0"/>
              <w:right w:val="single" w:color="auto" w:sz="4" w:space="0"/>
            </w:tcBorders>
            <w:noWrap/>
            <w:vAlign w:val="center"/>
          </w:tcPr>
          <w:p w14:paraId="7E40EB5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-13.10 </w:t>
            </w:r>
          </w:p>
        </w:tc>
        <w:tc>
          <w:tcPr>
            <w:tcW w:w="1408" w:type="dxa"/>
            <w:tcBorders>
              <w:top w:val="single" w:color="auto" w:sz="4" w:space="0"/>
              <w:left w:val="single" w:color="auto" w:sz="4" w:space="0"/>
              <w:bottom w:val="single" w:color="auto" w:sz="4" w:space="0"/>
              <w:right w:val="single" w:color="auto" w:sz="4" w:space="0"/>
            </w:tcBorders>
            <w:noWrap/>
            <w:vAlign w:val="center"/>
          </w:tcPr>
          <w:p w14:paraId="0584971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0.22 </w:t>
            </w:r>
          </w:p>
        </w:tc>
      </w:tr>
      <w:tr w14:paraId="65E48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1873" w:type="dxa"/>
            <w:tcBorders>
              <w:top w:val="single" w:color="auto" w:sz="4" w:space="0"/>
              <w:left w:val="single" w:color="auto" w:sz="4" w:space="0"/>
              <w:bottom w:val="single" w:color="auto" w:sz="4" w:space="0"/>
              <w:right w:val="single" w:color="auto" w:sz="4" w:space="0"/>
            </w:tcBorders>
            <w:noWrap/>
            <w:vAlign w:val="center"/>
          </w:tcPr>
          <w:p w14:paraId="08E88A3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九、其他服务业</w:t>
            </w:r>
          </w:p>
        </w:tc>
        <w:tc>
          <w:tcPr>
            <w:tcW w:w="1256" w:type="dxa"/>
            <w:tcBorders>
              <w:top w:val="single" w:color="auto" w:sz="4" w:space="0"/>
              <w:left w:val="single" w:color="auto" w:sz="4" w:space="0"/>
              <w:bottom w:val="single" w:color="auto" w:sz="4" w:space="0"/>
              <w:right w:val="single" w:color="auto" w:sz="4" w:space="0"/>
            </w:tcBorders>
            <w:noWrap/>
            <w:vAlign w:val="center"/>
          </w:tcPr>
          <w:p w14:paraId="374D07E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108477 </w:t>
            </w:r>
          </w:p>
        </w:tc>
        <w:tc>
          <w:tcPr>
            <w:tcW w:w="1200" w:type="dxa"/>
            <w:tcBorders>
              <w:top w:val="single" w:color="auto" w:sz="4" w:space="0"/>
              <w:left w:val="single" w:color="auto" w:sz="4" w:space="0"/>
              <w:bottom w:val="single" w:color="auto" w:sz="4" w:space="0"/>
              <w:right w:val="single" w:color="auto" w:sz="4" w:space="0"/>
            </w:tcBorders>
            <w:noWrap/>
            <w:vAlign w:val="center"/>
          </w:tcPr>
          <w:p w14:paraId="2EF3633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2.7 </w:t>
            </w:r>
          </w:p>
        </w:tc>
        <w:tc>
          <w:tcPr>
            <w:tcW w:w="1320" w:type="dxa"/>
            <w:tcBorders>
              <w:top w:val="single" w:color="auto" w:sz="4" w:space="0"/>
              <w:left w:val="single" w:color="auto" w:sz="4" w:space="0"/>
              <w:bottom w:val="single" w:color="auto" w:sz="4" w:space="0"/>
              <w:right w:val="single" w:color="auto" w:sz="4" w:space="0"/>
            </w:tcBorders>
            <w:noWrap/>
            <w:vAlign w:val="center"/>
          </w:tcPr>
          <w:p w14:paraId="2DC8A54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20.0 </w:t>
            </w:r>
          </w:p>
        </w:tc>
        <w:tc>
          <w:tcPr>
            <w:tcW w:w="1080" w:type="dxa"/>
            <w:tcBorders>
              <w:top w:val="single" w:color="auto" w:sz="4" w:space="0"/>
              <w:left w:val="single" w:color="auto" w:sz="4" w:space="0"/>
              <w:bottom w:val="single" w:color="auto" w:sz="4" w:space="0"/>
              <w:right w:val="single" w:color="auto" w:sz="4" w:space="0"/>
            </w:tcBorders>
            <w:noWrap/>
            <w:vAlign w:val="center"/>
          </w:tcPr>
          <w:p w14:paraId="5732B3A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-36.40 </w:t>
            </w:r>
          </w:p>
        </w:tc>
        <w:tc>
          <w:tcPr>
            <w:tcW w:w="1408" w:type="dxa"/>
            <w:tcBorders>
              <w:top w:val="single" w:color="auto" w:sz="4" w:space="0"/>
              <w:left w:val="single" w:color="auto" w:sz="4" w:space="0"/>
              <w:bottom w:val="single" w:color="auto" w:sz="4" w:space="0"/>
              <w:right w:val="single" w:color="auto" w:sz="4" w:space="0"/>
            </w:tcBorders>
            <w:noWrap/>
            <w:vAlign w:val="center"/>
          </w:tcPr>
          <w:p w14:paraId="153FBD3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0.60 </w:t>
            </w:r>
          </w:p>
        </w:tc>
      </w:tr>
    </w:tbl>
    <w:p w14:paraId="438EE4C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1-9月</w:t>
      </w:r>
      <w:r>
        <w:rPr>
          <w:rFonts w:hint="eastAsia" w:ascii="仿宋_GB2312" w:hAnsi="仿宋_GB2312" w:eastAsia="仿宋_GB2312" w:cs="仿宋_GB2312"/>
          <w:b/>
          <w:bCs/>
          <w:color w:val="auto"/>
          <w:sz w:val="32"/>
          <w:szCs w:val="32"/>
          <w:lang w:eastAsia="zh-CN"/>
        </w:rPr>
        <w:t>全县地区生产总值同比下降</w:t>
      </w:r>
      <w:r>
        <w:rPr>
          <w:rFonts w:hint="eastAsia" w:ascii="仿宋_GB2312" w:hAnsi="仿宋_GB2312" w:eastAsia="仿宋_GB2312" w:cs="仿宋_GB2312"/>
          <w:b/>
          <w:bCs/>
          <w:color w:val="auto"/>
          <w:sz w:val="32"/>
          <w:szCs w:val="32"/>
          <w:lang w:val="en-US" w:eastAsia="zh-CN"/>
        </w:rPr>
        <w:t>1.7%主要原因：一是</w:t>
      </w:r>
      <w:r>
        <w:rPr>
          <w:rFonts w:hint="eastAsia" w:ascii="仿宋_GB2312" w:hAnsi="仿宋_GB2312" w:eastAsia="仿宋_GB2312" w:cs="仿宋_GB2312"/>
          <w:b w:val="0"/>
          <w:bCs w:val="0"/>
          <w:color w:val="auto"/>
          <w:sz w:val="32"/>
          <w:szCs w:val="32"/>
          <w:lang w:val="en-US" w:eastAsia="zh-CN"/>
        </w:rPr>
        <w:t>第二产业比重较高，参与核算的相关指标完成不理想，是导致经济下滑的主要原因。截至目前，</w:t>
      </w:r>
      <w:r>
        <w:rPr>
          <w:rFonts w:hint="eastAsia" w:ascii="仿宋_GB2312" w:hAnsi="仿宋_GB2312" w:eastAsia="仿宋_GB2312" w:cs="仿宋_GB2312"/>
          <w:b w:val="0"/>
          <w:bCs w:val="0"/>
          <w:color w:val="auto"/>
          <w:sz w:val="32"/>
          <w:szCs w:val="32"/>
          <w:highlight w:val="none"/>
          <w:lang w:val="en-US" w:eastAsia="zh-CN"/>
        </w:rPr>
        <w:t>全县规上工业增加值同比下降了8.4%，</w:t>
      </w:r>
      <w:r>
        <w:rPr>
          <w:rFonts w:hint="eastAsia" w:ascii="仿宋_GB2312" w:hAnsi="仿宋_GB2312" w:eastAsia="仿宋_GB2312" w:cs="仿宋_GB2312"/>
          <w:b w:val="0"/>
          <w:bCs w:val="0"/>
          <w:color w:val="auto"/>
          <w:sz w:val="32"/>
          <w:szCs w:val="32"/>
          <w:lang w:val="en-US" w:eastAsia="zh-CN"/>
        </w:rPr>
        <w:t>工业三大门类中两个占比最大的门类出现下降，其中：规上采矿业增加值</w:t>
      </w:r>
      <w:r>
        <w:rPr>
          <w:rFonts w:hint="eastAsia" w:ascii="仿宋_GB2312" w:hAnsi="仿宋_GB2312" w:eastAsia="仿宋_GB2312" w:cs="仿宋_GB2312"/>
          <w:sz w:val="32"/>
          <w:szCs w:val="32"/>
        </w:rPr>
        <w:t>同比下降</w:t>
      </w:r>
      <w:r>
        <w:rPr>
          <w:rFonts w:hint="eastAsia" w:ascii="仿宋_GB2312" w:hAnsi="仿宋_GB2312" w:eastAsia="仿宋_GB2312" w:cs="仿宋_GB2312"/>
          <w:sz w:val="32"/>
          <w:szCs w:val="32"/>
          <w:lang w:val="en-US" w:eastAsia="zh-CN"/>
        </w:rPr>
        <w:t>31.2</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color w:val="auto"/>
          <w:sz w:val="32"/>
          <w:szCs w:val="32"/>
          <w:lang w:val="en-US" w:eastAsia="zh-CN"/>
        </w:rPr>
        <w:t>，电力热力和水的生产供应业增加值同比</w:t>
      </w:r>
      <w:r>
        <w:rPr>
          <w:rFonts w:hint="eastAsia" w:ascii="仿宋_GB2312" w:hAnsi="仿宋_GB2312" w:eastAsia="仿宋_GB2312" w:cs="仿宋_GB2312"/>
          <w:sz w:val="32"/>
          <w:szCs w:val="32"/>
        </w:rPr>
        <w:t>下降1</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color w:val="auto"/>
          <w:sz w:val="32"/>
          <w:szCs w:val="32"/>
          <w:lang w:val="en-US" w:eastAsia="zh-CN"/>
        </w:rPr>
        <w:t>，规上制造业虽然实现了37%的增长，但占规上工业的比重小，拉动力不强。</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b w:val="0"/>
          <w:bCs w:val="0"/>
          <w:color w:val="auto"/>
          <w:sz w:val="32"/>
          <w:szCs w:val="32"/>
          <w:highlight w:val="none"/>
          <w:lang w:val="en-US" w:eastAsia="zh-CN"/>
        </w:rPr>
        <w:t>第三产业拉动力有限，第三产业在生产总值中的比重虽然达到31.9%，</w:t>
      </w:r>
      <w:r>
        <w:rPr>
          <w:rFonts w:hint="eastAsia" w:ascii="仿宋_GB2312" w:hAnsi="仿宋_GB2312" w:eastAsia="仿宋_GB2312" w:cs="仿宋_GB2312"/>
          <w:b w:val="0"/>
          <w:bCs w:val="0"/>
          <w:color w:val="auto"/>
          <w:sz w:val="32"/>
          <w:szCs w:val="32"/>
          <w:lang w:val="en-US" w:eastAsia="zh-CN"/>
        </w:rPr>
        <w:t>但从具体行业来看，交通运输业、批发零售业、住宿餐饮业、金融业、房地产和其他服务业这些行业总的拉动增长不足1个百分点，分行业来看大多拉动力未超过0.5个百分点，三产中占生产总值比重最大的非营利性服务业（18%）增长仅为3%。</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lang w:val="en-US" w:eastAsia="zh-CN"/>
        </w:rPr>
        <w:t>受核算数据衔接的影响，几个主要行业数据衔接后呈现下降趋势，农林牧渔业衔接后增速从5.6%下降到5.5%，减少了0.1个百分点；工业增速从-8.4%下降到-10.4%，减少了2个百分点；交通运输仓储和邮政业增速从13.8%下降到4.9%，减少了8.9个百分点；住宿和餐饮业增速从13.5%下降到-3.2%，减少了16.7个百分点，综合以上情况，全县地区生产总值增速从初步测算的0.4%降至-1.7%，下降了2.1个百分点。</w:t>
      </w:r>
    </w:p>
    <w:p w14:paraId="60D4F8D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eastAsia="zh-CN"/>
        </w:rPr>
        <w:t>（一）农林牧渔业实现较好增长。</w:t>
      </w:r>
      <w:r>
        <w:rPr>
          <w:rFonts w:hint="eastAsia" w:ascii="仿宋_GB2312" w:hAnsi="仿宋_GB2312" w:eastAsia="仿宋_GB2312" w:cs="仿宋_GB2312"/>
          <w:color w:val="auto"/>
          <w:sz w:val="32"/>
          <w:szCs w:val="32"/>
          <w:lang w:eastAsia="zh-CN"/>
        </w:rPr>
        <w:t>经地区统计局审定反馈，</w:t>
      </w:r>
      <w:r>
        <w:rPr>
          <w:rFonts w:hint="eastAsia" w:ascii="仿宋_GB2312" w:hAnsi="仿宋_GB2312" w:eastAsia="仿宋_GB2312" w:cs="仿宋_GB2312"/>
          <w:color w:val="auto"/>
          <w:sz w:val="32"/>
          <w:szCs w:val="32"/>
          <w:lang w:val="en-US" w:eastAsia="zh-CN"/>
        </w:rPr>
        <w:t>1-9月，全县农林牧渔业完成产值</w:t>
      </w:r>
      <w:r>
        <w:rPr>
          <w:rFonts w:hint="eastAsia" w:ascii="仿宋_GB2312" w:hAnsi="仿宋_GB2312" w:eastAsia="仿宋_GB2312" w:cs="仿宋_GB2312"/>
          <w:sz w:val="32"/>
          <w:szCs w:val="32"/>
          <w:lang w:val="en-US" w:eastAsia="zh-CN"/>
        </w:rPr>
        <w:t>79421.78</w:t>
      </w:r>
      <w:r>
        <w:rPr>
          <w:rFonts w:hint="eastAsia" w:ascii="仿宋_GB2312" w:hAnsi="仿宋_GB2312" w:eastAsia="仿宋_GB2312" w:cs="仿宋_GB2312"/>
          <w:color w:val="auto"/>
          <w:sz w:val="32"/>
          <w:szCs w:val="32"/>
          <w:lang w:val="en-US" w:eastAsia="zh-CN"/>
        </w:rPr>
        <w:t>万元，</w:t>
      </w:r>
      <w:r>
        <w:rPr>
          <w:rFonts w:hint="eastAsia" w:ascii="仿宋_GB2312" w:hAnsi="仿宋_GB2312" w:eastAsia="仿宋_GB2312" w:cs="仿宋_GB2312"/>
          <w:sz w:val="32"/>
          <w:szCs w:val="32"/>
          <w:lang w:val="en-US" w:eastAsia="zh-CN"/>
        </w:rPr>
        <w:t>同比增长5.6%（按</w:t>
      </w:r>
      <w:r>
        <w:rPr>
          <w:rFonts w:hint="eastAsia" w:ascii="仿宋_GB2312" w:hAnsi="仿宋_GB2312" w:eastAsia="仿宋_GB2312" w:cs="仿宋_GB2312"/>
          <w:color w:val="auto"/>
          <w:sz w:val="32"/>
          <w:szCs w:val="32"/>
          <w:lang w:val="en-US" w:eastAsia="zh-CN"/>
        </w:rPr>
        <w:t>可比价</w:t>
      </w:r>
      <w:r>
        <w:rPr>
          <w:rFonts w:hint="eastAsia" w:ascii="仿宋_GB2312" w:hAnsi="仿宋_GB2312" w:eastAsia="仿宋_GB2312" w:cs="仿宋_GB2312"/>
          <w:sz w:val="32"/>
          <w:szCs w:val="32"/>
          <w:lang w:val="en-US" w:eastAsia="zh-CN"/>
        </w:rPr>
        <w:t>,下同）,其中：农业产值为37600.7万元，同比增长2.1%；林业产值为2033.82万元，同比增长200.1%；牧业产值为37831.27万元，同比增长7.4%；渔业产值为9万元，同比下降86.6%；农林牧渔服务业产值1947万元，同比增长5.2%。</w:t>
      </w:r>
    </w:p>
    <w:p w14:paraId="663DE8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lang w:val="en-US" w:eastAsia="zh-CN"/>
        </w:rPr>
        <w:t>1.主要畜禽存栏</w:t>
      </w:r>
      <w:r>
        <w:rPr>
          <w:rFonts w:hint="eastAsia" w:ascii="仿宋_GB2312" w:hAnsi="仿宋_GB2312" w:eastAsia="仿宋_GB2312" w:cs="仿宋_GB2312"/>
          <w:b/>
          <w:bCs/>
          <w:kern w:val="2"/>
          <w:sz w:val="32"/>
          <w:szCs w:val="32"/>
          <w:lang w:val="en-US" w:eastAsia="zh-CN" w:bidi="ar-SA"/>
        </w:rPr>
        <w:t>情况。1-9月</w:t>
      </w:r>
      <w:r>
        <w:rPr>
          <w:rFonts w:hint="eastAsia" w:ascii="仿宋_GB2312" w:hAnsi="仿宋_GB2312" w:eastAsia="仿宋_GB2312" w:cs="仿宋_GB2312"/>
          <w:sz w:val="32"/>
          <w:szCs w:val="32"/>
          <w:lang w:val="en-US" w:eastAsia="zh-CN"/>
        </w:rPr>
        <w:t>猪存栏0.07（万头），同比下降55.65%；牛存栏9.09（万头），同比下降16.68%；羊存栏40.71（万只），同比下降21.5%；家禽存栏0.81（万只），同比增长74.34%。</w:t>
      </w:r>
    </w:p>
    <w:p w14:paraId="507F22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主要畜禽出栏</w:t>
      </w:r>
      <w:r>
        <w:rPr>
          <w:rFonts w:hint="eastAsia" w:ascii="仿宋_GB2312" w:hAnsi="仿宋_GB2312" w:eastAsia="仿宋_GB2312" w:cs="仿宋_GB2312"/>
          <w:b/>
          <w:bCs/>
          <w:color w:val="auto"/>
          <w:sz w:val="32"/>
          <w:szCs w:val="32"/>
          <w:lang w:eastAsia="zh-CN"/>
        </w:rPr>
        <w:t>情况。</w:t>
      </w:r>
      <w:r>
        <w:rPr>
          <w:rFonts w:hint="eastAsia" w:ascii="仿宋_GB2312" w:hAnsi="仿宋_GB2312" w:eastAsia="仿宋_GB2312" w:cs="仿宋_GB2312"/>
          <w:b/>
          <w:bCs/>
          <w:kern w:val="2"/>
          <w:sz w:val="32"/>
          <w:szCs w:val="32"/>
          <w:lang w:val="en-US" w:eastAsia="zh-CN" w:bidi="ar-SA"/>
        </w:rPr>
        <w:t>1-9月</w:t>
      </w:r>
      <w:r>
        <w:rPr>
          <w:rFonts w:hint="eastAsia" w:ascii="仿宋_GB2312" w:hAnsi="仿宋_GB2312" w:eastAsia="仿宋_GB2312" w:cs="仿宋_GB2312"/>
          <w:sz w:val="32"/>
          <w:szCs w:val="32"/>
          <w:lang w:val="en-US" w:eastAsia="zh-CN"/>
        </w:rPr>
        <w:t>猪出栏0.23（万头），与去年持平；牛出栏1.41（万头），同比增长</w:t>
      </w:r>
      <w:r>
        <w:rPr>
          <w:rFonts w:hint="eastAsia" w:ascii="仿宋_GB2312" w:hAnsi="仿宋_GB2312" w:eastAsia="仿宋_GB2312" w:cs="仿宋_GB2312"/>
          <w:color w:val="auto"/>
          <w:sz w:val="32"/>
          <w:szCs w:val="32"/>
          <w:highlight w:val="none"/>
          <w:lang w:val="en-US" w:eastAsia="zh-CN"/>
        </w:rPr>
        <w:t>14.02%；</w:t>
      </w:r>
      <w:r>
        <w:rPr>
          <w:rFonts w:hint="eastAsia" w:ascii="仿宋_GB2312" w:hAnsi="仿宋_GB2312" w:eastAsia="仿宋_GB2312" w:cs="仿宋_GB2312"/>
          <w:sz w:val="32"/>
          <w:szCs w:val="32"/>
          <w:lang w:val="en-US" w:eastAsia="zh-CN"/>
        </w:rPr>
        <w:t>羊出栏16.12（万只），同比增长23.15%；家禽出栏0.81（万只），同比增长63.34%。</w:t>
      </w:r>
    </w:p>
    <w:p w14:paraId="68EF9703">
      <w:pPr>
        <w:pageBreakBefore w:val="0"/>
        <w:kinsoku/>
        <w:wordWrap/>
        <w:overflowPunct/>
        <w:topLinePunct w:val="0"/>
        <w:autoSpaceDE/>
        <w:autoSpaceDN/>
        <w:bidi w:val="0"/>
        <w:adjustRightInd/>
        <w:snapToGrid/>
        <w:spacing w:line="560" w:lineRule="exact"/>
        <w:ind w:firstLine="584"/>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畜禽产品产量</w:t>
      </w:r>
      <w:r>
        <w:rPr>
          <w:rFonts w:hint="eastAsia" w:ascii="仿宋_GB2312" w:hAnsi="仿宋_GB2312" w:eastAsia="仿宋_GB2312" w:cs="仿宋_GB2312"/>
          <w:b/>
          <w:bCs/>
          <w:color w:val="auto"/>
          <w:sz w:val="32"/>
          <w:szCs w:val="32"/>
          <w:lang w:eastAsia="zh-CN"/>
        </w:rPr>
        <w:t>全面增长。</w:t>
      </w:r>
      <w:r>
        <w:rPr>
          <w:rFonts w:hint="eastAsia" w:ascii="仿宋_GB2312" w:hAnsi="仿宋_GB2312" w:eastAsia="仿宋_GB2312" w:cs="仿宋_GB2312"/>
          <w:color w:val="auto"/>
          <w:sz w:val="32"/>
          <w:szCs w:val="32"/>
        </w:rPr>
        <w:t>猪肉</w:t>
      </w:r>
      <w:r>
        <w:rPr>
          <w:rFonts w:hint="eastAsia" w:ascii="仿宋_GB2312" w:hAnsi="仿宋_GB2312" w:eastAsia="仿宋_GB2312" w:cs="仿宋_GB2312"/>
          <w:color w:val="auto"/>
          <w:sz w:val="32"/>
          <w:szCs w:val="32"/>
          <w:lang w:val="en-US" w:eastAsia="zh-CN"/>
        </w:rPr>
        <w:t>0.018万</w:t>
      </w:r>
      <w:r>
        <w:rPr>
          <w:rFonts w:hint="eastAsia" w:ascii="仿宋_GB2312" w:hAnsi="仿宋_GB2312" w:eastAsia="仿宋_GB2312" w:cs="仿宋_GB2312"/>
          <w:color w:val="auto"/>
          <w:sz w:val="32"/>
          <w:szCs w:val="32"/>
        </w:rPr>
        <w:t>吨，同比</w:t>
      </w:r>
      <w:r>
        <w:rPr>
          <w:rFonts w:hint="eastAsia" w:ascii="仿宋_GB2312" w:hAnsi="仿宋_GB2312" w:eastAsia="仿宋_GB2312" w:cs="仿宋_GB2312"/>
          <w:color w:val="auto"/>
          <w:sz w:val="32"/>
          <w:szCs w:val="32"/>
          <w:lang w:eastAsia="zh-CN"/>
        </w:rPr>
        <w:t>增长</w:t>
      </w:r>
      <w:r>
        <w:rPr>
          <w:rFonts w:hint="eastAsia" w:ascii="仿宋_GB2312" w:hAnsi="仿宋_GB2312" w:eastAsia="仿宋_GB2312" w:cs="仿宋_GB2312"/>
          <w:color w:val="auto"/>
          <w:sz w:val="32"/>
          <w:szCs w:val="32"/>
          <w:lang w:val="en-US" w:eastAsia="zh-CN"/>
        </w:rPr>
        <w:t>10.28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牛肉</w:t>
      </w:r>
      <w:r>
        <w:rPr>
          <w:rFonts w:hint="eastAsia" w:ascii="仿宋_GB2312" w:hAnsi="仿宋_GB2312" w:eastAsia="仿宋_GB2312" w:cs="仿宋_GB2312"/>
          <w:color w:val="auto"/>
          <w:sz w:val="32"/>
          <w:szCs w:val="32"/>
          <w:lang w:val="en-US" w:eastAsia="zh-CN"/>
        </w:rPr>
        <w:t>0.23万</w:t>
      </w:r>
      <w:r>
        <w:rPr>
          <w:rFonts w:hint="eastAsia" w:ascii="仿宋_GB2312" w:hAnsi="仿宋_GB2312" w:eastAsia="仿宋_GB2312" w:cs="仿宋_GB2312"/>
          <w:color w:val="auto"/>
          <w:sz w:val="32"/>
          <w:szCs w:val="32"/>
        </w:rPr>
        <w:t>吨，</w:t>
      </w:r>
      <w:r>
        <w:rPr>
          <w:rFonts w:hint="eastAsia" w:ascii="仿宋_GB2312" w:hAnsi="仿宋_GB2312" w:eastAsia="仿宋_GB2312" w:cs="仿宋_GB2312"/>
          <w:color w:val="auto"/>
          <w:sz w:val="32"/>
          <w:szCs w:val="32"/>
          <w:lang w:eastAsia="zh-CN"/>
        </w:rPr>
        <w:t>同比</w:t>
      </w:r>
      <w:r>
        <w:rPr>
          <w:rFonts w:hint="eastAsia" w:ascii="仿宋_GB2312" w:hAnsi="仿宋_GB2312" w:eastAsia="仿宋_GB2312" w:cs="仿宋_GB2312"/>
          <w:color w:val="auto"/>
          <w:sz w:val="32"/>
          <w:szCs w:val="32"/>
        </w:rPr>
        <w:t>增长</w:t>
      </w:r>
      <w:r>
        <w:rPr>
          <w:rFonts w:hint="eastAsia" w:ascii="仿宋_GB2312" w:hAnsi="仿宋_GB2312" w:eastAsia="仿宋_GB2312" w:cs="仿宋_GB2312"/>
          <w:color w:val="auto"/>
          <w:sz w:val="32"/>
          <w:szCs w:val="32"/>
          <w:lang w:val="en-US" w:eastAsia="zh-CN"/>
        </w:rPr>
        <w:t>5.55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羊肉</w:t>
      </w:r>
      <w:r>
        <w:rPr>
          <w:rFonts w:hint="eastAsia" w:ascii="仿宋_GB2312" w:hAnsi="仿宋_GB2312" w:eastAsia="仿宋_GB2312" w:cs="仿宋_GB2312"/>
          <w:color w:val="auto"/>
          <w:sz w:val="32"/>
          <w:szCs w:val="32"/>
          <w:lang w:val="en-US" w:eastAsia="zh-CN"/>
        </w:rPr>
        <w:t>0.29万</w:t>
      </w:r>
      <w:r>
        <w:rPr>
          <w:rFonts w:hint="eastAsia" w:ascii="仿宋_GB2312" w:hAnsi="仿宋_GB2312" w:eastAsia="仿宋_GB2312" w:cs="仿宋_GB2312"/>
          <w:color w:val="auto"/>
          <w:sz w:val="32"/>
          <w:szCs w:val="32"/>
        </w:rPr>
        <w:t>吨，</w:t>
      </w:r>
      <w:r>
        <w:rPr>
          <w:rFonts w:hint="eastAsia" w:ascii="仿宋_GB2312" w:hAnsi="仿宋_GB2312" w:eastAsia="仿宋_GB2312" w:cs="仿宋_GB2312"/>
          <w:color w:val="auto"/>
          <w:sz w:val="32"/>
          <w:szCs w:val="32"/>
          <w:lang w:eastAsia="zh-CN"/>
        </w:rPr>
        <w:t>同比</w:t>
      </w:r>
      <w:r>
        <w:rPr>
          <w:rFonts w:hint="eastAsia" w:ascii="仿宋_GB2312" w:hAnsi="仿宋_GB2312" w:eastAsia="仿宋_GB2312" w:cs="仿宋_GB2312"/>
          <w:color w:val="auto"/>
          <w:sz w:val="32"/>
          <w:szCs w:val="32"/>
        </w:rPr>
        <w:t>增长</w:t>
      </w:r>
      <w:r>
        <w:rPr>
          <w:rFonts w:hint="eastAsia" w:ascii="仿宋_GB2312" w:hAnsi="仿宋_GB2312" w:eastAsia="仿宋_GB2312" w:cs="仿宋_GB2312"/>
          <w:color w:val="auto"/>
          <w:sz w:val="32"/>
          <w:szCs w:val="32"/>
          <w:lang w:val="en-US" w:eastAsia="zh-CN"/>
        </w:rPr>
        <w:t>25.4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禽肉</w:t>
      </w:r>
      <w:r>
        <w:rPr>
          <w:rFonts w:hint="eastAsia" w:ascii="仿宋_GB2312" w:hAnsi="仿宋_GB2312" w:eastAsia="仿宋_GB2312" w:cs="仿宋_GB2312"/>
          <w:color w:val="auto"/>
          <w:sz w:val="32"/>
          <w:szCs w:val="32"/>
          <w:lang w:val="en-US" w:eastAsia="zh-CN"/>
        </w:rPr>
        <w:t>0.002万</w:t>
      </w:r>
      <w:r>
        <w:rPr>
          <w:rFonts w:hint="eastAsia" w:ascii="仿宋_GB2312" w:hAnsi="仿宋_GB2312" w:eastAsia="仿宋_GB2312" w:cs="仿宋_GB2312"/>
          <w:color w:val="auto"/>
          <w:sz w:val="32"/>
          <w:szCs w:val="32"/>
        </w:rPr>
        <w:t>吨，同比</w:t>
      </w:r>
      <w:r>
        <w:rPr>
          <w:rFonts w:hint="eastAsia" w:ascii="仿宋_GB2312" w:hAnsi="仿宋_GB2312" w:eastAsia="仿宋_GB2312" w:cs="仿宋_GB2312"/>
          <w:color w:val="auto"/>
          <w:sz w:val="32"/>
          <w:szCs w:val="32"/>
          <w:lang w:eastAsia="zh-CN"/>
        </w:rPr>
        <w:t>增长</w:t>
      </w:r>
      <w:r>
        <w:rPr>
          <w:rFonts w:hint="eastAsia" w:ascii="仿宋_GB2312" w:hAnsi="仿宋_GB2312" w:eastAsia="仿宋_GB2312" w:cs="仿宋_GB2312"/>
          <w:color w:val="auto"/>
          <w:sz w:val="32"/>
          <w:szCs w:val="32"/>
          <w:lang w:val="en-US" w:eastAsia="zh-CN"/>
        </w:rPr>
        <w:t>81.31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禽蛋</w:t>
      </w:r>
      <w:r>
        <w:rPr>
          <w:rFonts w:hint="eastAsia" w:ascii="仿宋_GB2312" w:hAnsi="仿宋_GB2312" w:eastAsia="仿宋_GB2312" w:cs="仿宋_GB2312"/>
          <w:color w:val="auto"/>
          <w:sz w:val="32"/>
          <w:szCs w:val="32"/>
          <w:lang w:val="en-US" w:eastAsia="zh-CN"/>
        </w:rPr>
        <w:t xml:space="preserve"> 0.0015万</w:t>
      </w:r>
      <w:r>
        <w:rPr>
          <w:rFonts w:hint="eastAsia" w:ascii="仿宋_GB2312" w:hAnsi="仿宋_GB2312" w:eastAsia="仿宋_GB2312" w:cs="仿宋_GB2312"/>
          <w:color w:val="auto"/>
          <w:sz w:val="32"/>
          <w:szCs w:val="32"/>
        </w:rPr>
        <w:t>吨，</w:t>
      </w:r>
      <w:r>
        <w:rPr>
          <w:rFonts w:hint="eastAsia" w:ascii="仿宋_GB2312" w:hAnsi="仿宋_GB2312" w:eastAsia="仿宋_GB2312" w:cs="仿宋_GB2312"/>
          <w:color w:val="auto"/>
          <w:sz w:val="32"/>
          <w:szCs w:val="32"/>
          <w:lang w:eastAsia="zh-CN"/>
        </w:rPr>
        <w:t>同比增长</w:t>
      </w:r>
      <w:r>
        <w:rPr>
          <w:rFonts w:hint="eastAsia" w:ascii="仿宋_GB2312" w:hAnsi="仿宋_GB2312" w:eastAsia="仿宋_GB2312" w:cs="仿宋_GB2312"/>
          <w:color w:val="auto"/>
          <w:sz w:val="32"/>
          <w:szCs w:val="32"/>
          <w:lang w:val="en-US" w:eastAsia="zh-CN"/>
        </w:rPr>
        <w:t>15.38%；</w:t>
      </w:r>
      <w:r>
        <w:rPr>
          <w:rFonts w:hint="eastAsia" w:ascii="仿宋_GB2312" w:hAnsi="仿宋_GB2312" w:eastAsia="仿宋_GB2312" w:cs="仿宋_GB2312"/>
          <w:color w:val="auto"/>
          <w:sz w:val="32"/>
          <w:szCs w:val="32"/>
        </w:rPr>
        <w:t>生牛奶</w:t>
      </w:r>
      <w:r>
        <w:rPr>
          <w:rFonts w:hint="eastAsia" w:ascii="仿宋_GB2312" w:hAnsi="仿宋_GB2312" w:eastAsia="仿宋_GB2312" w:cs="仿宋_GB2312"/>
          <w:color w:val="auto"/>
          <w:sz w:val="32"/>
          <w:szCs w:val="32"/>
          <w:lang w:val="en-US" w:eastAsia="zh-CN"/>
        </w:rPr>
        <w:t>0.1707万</w:t>
      </w:r>
      <w:r>
        <w:rPr>
          <w:rFonts w:hint="eastAsia" w:ascii="仿宋_GB2312" w:hAnsi="仿宋_GB2312" w:eastAsia="仿宋_GB2312" w:cs="仿宋_GB2312"/>
          <w:color w:val="auto"/>
          <w:sz w:val="32"/>
          <w:szCs w:val="32"/>
        </w:rPr>
        <w:t>吨，同比</w:t>
      </w:r>
      <w:r>
        <w:rPr>
          <w:rFonts w:hint="eastAsia" w:ascii="仿宋_GB2312" w:hAnsi="仿宋_GB2312" w:eastAsia="仿宋_GB2312" w:cs="仿宋_GB2312"/>
          <w:color w:val="auto"/>
          <w:sz w:val="32"/>
          <w:szCs w:val="32"/>
          <w:lang w:eastAsia="zh-CN"/>
        </w:rPr>
        <w:t>下降</w:t>
      </w:r>
      <w:r>
        <w:rPr>
          <w:rFonts w:hint="eastAsia" w:ascii="仿宋_GB2312" w:hAnsi="仿宋_GB2312" w:eastAsia="仿宋_GB2312" w:cs="仿宋_GB2312"/>
          <w:color w:val="auto"/>
          <w:sz w:val="32"/>
          <w:szCs w:val="32"/>
          <w:lang w:val="en-US" w:eastAsia="zh-CN"/>
        </w:rPr>
        <w:t>40.72</w:t>
      </w:r>
      <w:r>
        <w:rPr>
          <w:rFonts w:hint="eastAsia" w:ascii="仿宋_GB2312" w:hAnsi="仿宋_GB2312" w:eastAsia="仿宋_GB2312" w:cs="仿宋_GB2312"/>
          <w:color w:val="auto"/>
          <w:sz w:val="32"/>
          <w:szCs w:val="32"/>
        </w:rPr>
        <w:t>%。</w:t>
      </w:r>
    </w:p>
    <w:p w14:paraId="28FC470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1-9月全县畜牧业生产情况表</w:t>
      </w:r>
    </w:p>
    <w:tbl>
      <w:tblPr>
        <w:tblStyle w:val="7"/>
        <w:tblpPr w:leftFromText="180" w:rightFromText="180" w:vertAnchor="text" w:horzAnchor="page" w:tblpX="1836" w:tblpY="99"/>
        <w:tblOverlap w:val="never"/>
        <w:tblW w:w="8123" w:type="dxa"/>
        <w:tblInd w:w="0" w:type="dxa"/>
        <w:tblLayout w:type="fixed"/>
        <w:tblCellMar>
          <w:top w:w="0" w:type="dxa"/>
          <w:left w:w="0" w:type="dxa"/>
          <w:bottom w:w="0" w:type="dxa"/>
          <w:right w:w="0" w:type="dxa"/>
        </w:tblCellMar>
      </w:tblPr>
      <w:tblGrid>
        <w:gridCol w:w="2265"/>
        <w:gridCol w:w="1106"/>
        <w:gridCol w:w="1793"/>
        <w:gridCol w:w="1578"/>
        <w:gridCol w:w="1381"/>
      </w:tblGrid>
      <w:tr w14:paraId="02D21A88">
        <w:tblPrEx>
          <w:tblCellMar>
            <w:top w:w="0" w:type="dxa"/>
            <w:left w:w="0" w:type="dxa"/>
            <w:bottom w:w="0" w:type="dxa"/>
            <w:right w:w="0" w:type="dxa"/>
          </w:tblCellMar>
        </w:tblPrEx>
        <w:trPr>
          <w:trHeight w:val="615" w:hRule="atLeast"/>
        </w:trPr>
        <w:tc>
          <w:tcPr>
            <w:tcW w:w="22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CAFC18">
            <w:pPr>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kern w:val="0"/>
                <w:sz w:val="21"/>
                <w:szCs w:val="21"/>
              </w:rPr>
              <w:t>指标名称</w:t>
            </w:r>
          </w:p>
        </w:tc>
        <w:tc>
          <w:tcPr>
            <w:tcW w:w="1106"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4A3F7279">
            <w:pPr>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kern w:val="0"/>
                <w:sz w:val="21"/>
                <w:szCs w:val="21"/>
              </w:rPr>
              <w:t>计量单位</w:t>
            </w:r>
          </w:p>
        </w:tc>
        <w:tc>
          <w:tcPr>
            <w:tcW w:w="1793"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03D174D4">
            <w:pPr>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color w:val="auto"/>
                <w:sz w:val="21"/>
                <w:szCs w:val="21"/>
                <w:lang w:val="en-US"/>
              </w:rPr>
            </w:pPr>
            <w:r>
              <w:rPr>
                <w:rFonts w:hint="eastAsia" w:ascii="仿宋_GB2312" w:hAnsi="仿宋_GB2312" w:eastAsia="仿宋_GB2312" w:cs="仿宋_GB2312"/>
                <w:b/>
                <w:bCs/>
                <w:color w:val="auto"/>
                <w:kern w:val="0"/>
                <w:sz w:val="21"/>
                <w:szCs w:val="21"/>
              </w:rPr>
              <w:t>202</w:t>
            </w:r>
            <w:r>
              <w:rPr>
                <w:rFonts w:hint="eastAsia" w:ascii="仿宋_GB2312" w:hAnsi="仿宋_GB2312" w:eastAsia="仿宋_GB2312" w:cs="仿宋_GB2312"/>
                <w:b/>
                <w:bCs/>
                <w:color w:val="auto"/>
                <w:kern w:val="0"/>
                <w:sz w:val="21"/>
                <w:szCs w:val="21"/>
                <w:lang w:val="en-US" w:eastAsia="zh-CN"/>
              </w:rPr>
              <w:t>5</w:t>
            </w:r>
            <w:r>
              <w:rPr>
                <w:rFonts w:hint="eastAsia" w:ascii="仿宋_GB2312" w:hAnsi="仿宋_GB2312" w:eastAsia="仿宋_GB2312" w:cs="仿宋_GB2312"/>
                <w:b/>
                <w:bCs/>
                <w:color w:val="auto"/>
                <w:kern w:val="0"/>
                <w:sz w:val="21"/>
                <w:szCs w:val="21"/>
              </w:rPr>
              <w:t>年</w:t>
            </w:r>
            <w:r>
              <w:rPr>
                <w:rFonts w:hint="eastAsia" w:ascii="仿宋_GB2312" w:hAnsi="仿宋_GB2312" w:eastAsia="仿宋_GB2312" w:cs="仿宋_GB2312"/>
                <w:b/>
                <w:bCs/>
                <w:color w:val="auto"/>
                <w:kern w:val="0"/>
                <w:sz w:val="21"/>
                <w:szCs w:val="21"/>
                <w:lang w:val="en-US" w:eastAsia="zh-CN"/>
              </w:rPr>
              <w:t>1-9月</w:t>
            </w:r>
          </w:p>
        </w:tc>
        <w:tc>
          <w:tcPr>
            <w:tcW w:w="1578"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14:paraId="567166E1">
            <w:pPr>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color w:val="auto"/>
                <w:sz w:val="21"/>
                <w:szCs w:val="21"/>
                <w:lang w:val="en-US"/>
              </w:rPr>
            </w:pPr>
            <w:r>
              <w:rPr>
                <w:rFonts w:hint="eastAsia" w:ascii="仿宋_GB2312" w:hAnsi="仿宋_GB2312" w:eastAsia="仿宋_GB2312" w:cs="仿宋_GB2312"/>
                <w:b/>
                <w:bCs/>
                <w:color w:val="auto"/>
                <w:kern w:val="0"/>
                <w:sz w:val="21"/>
                <w:szCs w:val="21"/>
              </w:rPr>
              <w:t>202</w:t>
            </w:r>
            <w:r>
              <w:rPr>
                <w:rFonts w:hint="eastAsia" w:ascii="仿宋_GB2312" w:hAnsi="仿宋_GB2312" w:eastAsia="仿宋_GB2312" w:cs="仿宋_GB2312"/>
                <w:b/>
                <w:bCs/>
                <w:color w:val="auto"/>
                <w:kern w:val="0"/>
                <w:sz w:val="21"/>
                <w:szCs w:val="21"/>
                <w:lang w:val="en-US" w:eastAsia="zh-CN"/>
              </w:rPr>
              <w:t>4</w:t>
            </w:r>
            <w:r>
              <w:rPr>
                <w:rFonts w:hint="eastAsia" w:ascii="仿宋_GB2312" w:hAnsi="仿宋_GB2312" w:eastAsia="仿宋_GB2312" w:cs="仿宋_GB2312"/>
                <w:b/>
                <w:bCs/>
                <w:color w:val="auto"/>
                <w:kern w:val="0"/>
                <w:sz w:val="21"/>
                <w:szCs w:val="21"/>
              </w:rPr>
              <w:t>年</w:t>
            </w:r>
            <w:r>
              <w:rPr>
                <w:rFonts w:hint="eastAsia" w:ascii="仿宋_GB2312" w:hAnsi="仿宋_GB2312" w:eastAsia="仿宋_GB2312" w:cs="仿宋_GB2312"/>
                <w:b/>
                <w:bCs/>
                <w:color w:val="auto"/>
                <w:kern w:val="0"/>
                <w:sz w:val="21"/>
                <w:szCs w:val="21"/>
                <w:lang w:val="en-US" w:eastAsia="zh-CN"/>
              </w:rPr>
              <w:t>1-9月</w:t>
            </w:r>
          </w:p>
        </w:tc>
        <w:tc>
          <w:tcPr>
            <w:tcW w:w="1381"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14:paraId="7FAD7BB7">
            <w:pPr>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kern w:val="0"/>
                <w:sz w:val="21"/>
                <w:szCs w:val="21"/>
              </w:rPr>
              <w:t>增速</w:t>
            </w:r>
            <w:r>
              <w:rPr>
                <w:rFonts w:hint="eastAsia" w:ascii="仿宋_GB2312" w:hAnsi="仿宋_GB2312" w:eastAsia="仿宋_GB2312" w:cs="仿宋_GB2312"/>
                <w:b/>
                <w:bCs/>
                <w:color w:val="auto"/>
                <w:kern w:val="0"/>
                <w:sz w:val="21"/>
                <w:szCs w:val="21"/>
                <w:lang w:val="en-US" w:eastAsia="zh-CN"/>
              </w:rPr>
              <w:t>%</w:t>
            </w:r>
          </w:p>
        </w:tc>
      </w:tr>
      <w:tr w14:paraId="66EAAF77">
        <w:tblPrEx>
          <w:tblCellMar>
            <w:top w:w="0" w:type="dxa"/>
            <w:left w:w="0" w:type="dxa"/>
            <w:bottom w:w="0" w:type="dxa"/>
            <w:right w:w="0" w:type="dxa"/>
          </w:tblCellMar>
        </w:tblPrEx>
        <w:trPr>
          <w:trHeight w:val="435" w:hRule="atLeast"/>
        </w:trPr>
        <w:tc>
          <w:tcPr>
            <w:tcW w:w="2265" w:type="dxa"/>
            <w:tcBorders>
              <w:top w:val="nil"/>
              <w:left w:val="single" w:color="auto" w:sz="4" w:space="0"/>
              <w:bottom w:val="single" w:color="auto" w:sz="4" w:space="0"/>
              <w:right w:val="single" w:color="auto" w:sz="4" w:space="0"/>
            </w:tcBorders>
            <w:shd w:val="clear" w:color="000000" w:fill="CCE8CF"/>
            <w:noWrap w:val="0"/>
            <w:tcMar>
              <w:top w:w="15" w:type="dxa"/>
              <w:left w:w="15" w:type="dxa"/>
              <w:right w:w="15" w:type="dxa"/>
            </w:tcMar>
            <w:vAlign w:val="center"/>
          </w:tcPr>
          <w:p w14:paraId="295C6548">
            <w:pPr>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color w:val="auto"/>
                <w:sz w:val="21"/>
                <w:szCs w:val="21"/>
              </w:rPr>
            </w:pPr>
            <w:r>
              <w:rPr>
                <w:rStyle w:val="9"/>
                <w:rFonts w:hint="eastAsia" w:ascii="仿宋_GB2312" w:hAnsi="仿宋_GB2312" w:eastAsia="仿宋_GB2312" w:cs="仿宋_GB2312"/>
                <w:b/>
                <w:bCs/>
                <w:color w:val="auto"/>
                <w:sz w:val="21"/>
                <w:szCs w:val="21"/>
              </w:rPr>
              <w:t xml:space="preserve">一、畜禽存栏  </w:t>
            </w:r>
          </w:p>
        </w:tc>
        <w:tc>
          <w:tcPr>
            <w:tcW w:w="1106" w:type="dxa"/>
            <w:tcBorders>
              <w:top w:val="nil"/>
              <w:left w:val="nil"/>
              <w:bottom w:val="single" w:color="auto" w:sz="4" w:space="0"/>
              <w:right w:val="single" w:color="auto" w:sz="4" w:space="0"/>
            </w:tcBorders>
            <w:shd w:val="clear" w:color="000000" w:fill="CCE8CF"/>
            <w:noWrap w:val="0"/>
            <w:tcMar>
              <w:top w:w="15" w:type="dxa"/>
              <w:left w:w="15" w:type="dxa"/>
              <w:right w:w="15" w:type="dxa"/>
            </w:tcMar>
            <w:vAlign w:val="center"/>
          </w:tcPr>
          <w:p w14:paraId="1B133E3C">
            <w:pPr>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kern w:val="0"/>
                <w:sz w:val="21"/>
                <w:szCs w:val="21"/>
              </w:rPr>
              <w:t>—</w:t>
            </w:r>
          </w:p>
        </w:tc>
        <w:tc>
          <w:tcPr>
            <w:tcW w:w="1793" w:type="dxa"/>
            <w:tcBorders>
              <w:top w:val="nil"/>
              <w:left w:val="nil"/>
              <w:bottom w:val="single" w:color="auto" w:sz="4" w:space="0"/>
              <w:right w:val="single" w:color="auto" w:sz="4" w:space="0"/>
            </w:tcBorders>
            <w:shd w:val="clear" w:color="000000" w:fill="CCE8CF"/>
            <w:noWrap w:val="0"/>
            <w:tcMar>
              <w:top w:w="15" w:type="dxa"/>
              <w:left w:w="15" w:type="dxa"/>
              <w:right w:w="15" w:type="dxa"/>
            </w:tcMar>
            <w:vAlign w:val="center"/>
          </w:tcPr>
          <w:p w14:paraId="1A59A3E5">
            <w:pPr>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kern w:val="0"/>
                <w:sz w:val="21"/>
                <w:szCs w:val="21"/>
              </w:rPr>
              <w:t>—</w:t>
            </w:r>
          </w:p>
        </w:tc>
        <w:tc>
          <w:tcPr>
            <w:tcW w:w="1578" w:type="dxa"/>
            <w:tcBorders>
              <w:top w:val="nil"/>
              <w:left w:val="nil"/>
              <w:bottom w:val="single" w:color="auto" w:sz="4" w:space="0"/>
              <w:right w:val="single" w:color="auto" w:sz="4" w:space="0"/>
            </w:tcBorders>
            <w:noWrap w:val="0"/>
            <w:tcMar>
              <w:top w:w="15" w:type="dxa"/>
              <w:left w:w="15" w:type="dxa"/>
              <w:right w:w="15" w:type="dxa"/>
            </w:tcMar>
            <w:vAlign w:val="center"/>
          </w:tcPr>
          <w:p w14:paraId="776A5A98">
            <w:pPr>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kern w:val="0"/>
                <w:sz w:val="21"/>
                <w:szCs w:val="21"/>
              </w:rPr>
              <w:t>—</w:t>
            </w:r>
          </w:p>
        </w:tc>
        <w:tc>
          <w:tcPr>
            <w:tcW w:w="1381" w:type="dxa"/>
            <w:tcBorders>
              <w:top w:val="nil"/>
              <w:left w:val="nil"/>
              <w:bottom w:val="single" w:color="auto" w:sz="4" w:space="0"/>
              <w:right w:val="single" w:color="auto" w:sz="4" w:space="0"/>
            </w:tcBorders>
            <w:noWrap w:val="0"/>
            <w:tcMar>
              <w:top w:w="15" w:type="dxa"/>
              <w:left w:w="15" w:type="dxa"/>
              <w:right w:w="15" w:type="dxa"/>
            </w:tcMar>
            <w:vAlign w:val="center"/>
          </w:tcPr>
          <w:p w14:paraId="5C1B33B5">
            <w:pPr>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kern w:val="0"/>
                <w:sz w:val="21"/>
                <w:szCs w:val="21"/>
              </w:rPr>
              <w:t>—</w:t>
            </w:r>
          </w:p>
        </w:tc>
      </w:tr>
      <w:tr w14:paraId="47ACD4E6">
        <w:tblPrEx>
          <w:tblCellMar>
            <w:top w:w="0" w:type="dxa"/>
            <w:left w:w="0" w:type="dxa"/>
            <w:bottom w:w="0" w:type="dxa"/>
            <w:right w:w="0" w:type="dxa"/>
          </w:tblCellMar>
        </w:tblPrEx>
        <w:trPr>
          <w:trHeight w:val="333" w:hRule="atLeast"/>
        </w:trPr>
        <w:tc>
          <w:tcPr>
            <w:tcW w:w="2265" w:type="dxa"/>
            <w:tcBorders>
              <w:top w:val="nil"/>
              <w:left w:val="single" w:color="auto" w:sz="4" w:space="0"/>
              <w:bottom w:val="single" w:color="auto" w:sz="4" w:space="0"/>
              <w:right w:val="single" w:color="auto" w:sz="4" w:space="0"/>
            </w:tcBorders>
            <w:shd w:val="clear" w:color="000000" w:fill="CCE8CF"/>
            <w:noWrap w:val="0"/>
            <w:tcMar>
              <w:top w:w="15" w:type="dxa"/>
              <w:left w:w="15" w:type="dxa"/>
              <w:right w:w="15" w:type="dxa"/>
            </w:tcMar>
            <w:vAlign w:val="center"/>
          </w:tcPr>
          <w:p w14:paraId="59C18612">
            <w:pPr>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猪</w:t>
            </w:r>
          </w:p>
        </w:tc>
        <w:tc>
          <w:tcPr>
            <w:tcW w:w="1106" w:type="dxa"/>
            <w:tcBorders>
              <w:top w:val="nil"/>
              <w:left w:val="nil"/>
              <w:bottom w:val="single" w:color="auto" w:sz="4" w:space="0"/>
              <w:right w:val="single" w:color="auto" w:sz="4" w:space="0"/>
            </w:tcBorders>
            <w:shd w:val="clear" w:color="000000" w:fill="CCE8CF"/>
            <w:noWrap w:val="0"/>
            <w:tcMar>
              <w:top w:w="15" w:type="dxa"/>
              <w:left w:w="15" w:type="dxa"/>
              <w:right w:w="15" w:type="dxa"/>
            </w:tcMar>
            <w:vAlign w:val="center"/>
          </w:tcPr>
          <w:p w14:paraId="3721DEAC">
            <w:pPr>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万头</w:t>
            </w:r>
          </w:p>
        </w:tc>
        <w:tc>
          <w:tcPr>
            <w:tcW w:w="1793" w:type="dxa"/>
            <w:tcBorders>
              <w:top w:val="nil"/>
              <w:left w:val="nil"/>
              <w:bottom w:val="single" w:color="auto" w:sz="4" w:space="0"/>
              <w:right w:val="single" w:color="auto" w:sz="4" w:space="0"/>
            </w:tcBorders>
            <w:shd w:val="clear" w:color="000000" w:fill="CCE8CF"/>
            <w:noWrap w:val="0"/>
            <w:tcMar>
              <w:top w:w="15" w:type="dxa"/>
              <w:left w:w="15" w:type="dxa"/>
              <w:right w:w="15" w:type="dxa"/>
            </w:tcMar>
            <w:vAlign w:val="bottom"/>
          </w:tcPr>
          <w:p w14:paraId="067329B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0.069</w:t>
            </w:r>
          </w:p>
        </w:tc>
        <w:tc>
          <w:tcPr>
            <w:tcW w:w="1578" w:type="dxa"/>
            <w:tcBorders>
              <w:top w:val="nil"/>
              <w:left w:val="nil"/>
              <w:bottom w:val="single" w:color="auto" w:sz="4" w:space="0"/>
              <w:right w:val="single" w:color="auto" w:sz="4" w:space="0"/>
            </w:tcBorders>
            <w:noWrap w:val="0"/>
            <w:tcMar>
              <w:top w:w="15" w:type="dxa"/>
              <w:left w:w="15" w:type="dxa"/>
              <w:right w:w="15" w:type="dxa"/>
            </w:tcMar>
            <w:vAlign w:val="bottom"/>
          </w:tcPr>
          <w:p w14:paraId="1FBB62B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0.156</w:t>
            </w:r>
          </w:p>
        </w:tc>
        <w:tc>
          <w:tcPr>
            <w:tcW w:w="1381" w:type="dxa"/>
            <w:tcBorders>
              <w:top w:val="nil"/>
              <w:left w:val="nil"/>
              <w:bottom w:val="single" w:color="auto" w:sz="4" w:space="0"/>
              <w:right w:val="single" w:color="auto" w:sz="4" w:space="0"/>
            </w:tcBorders>
            <w:noWrap w:val="0"/>
            <w:tcMar>
              <w:top w:w="15" w:type="dxa"/>
              <w:left w:w="15" w:type="dxa"/>
              <w:right w:w="15" w:type="dxa"/>
            </w:tcMar>
            <w:vAlign w:val="bottom"/>
          </w:tcPr>
          <w:p w14:paraId="742534E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-55.64</w:t>
            </w:r>
          </w:p>
        </w:tc>
      </w:tr>
      <w:tr w14:paraId="3BB81ABB">
        <w:tblPrEx>
          <w:tblCellMar>
            <w:top w:w="0" w:type="dxa"/>
            <w:left w:w="0" w:type="dxa"/>
            <w:bottom w:w="0" w:type="dxa"/>
            <w:right w:w="0" w:type="dxa"/>
          </w:tblCellMar>
        </w:tblPrEx>
        <w:trPr>
          <w:trHeight w:val="329" w:hRule="atLeast"/>
        </w:trPr>
        <w:tc>
          <w:tcPr>
            <w:tcW w:w="2265" w:type="dxa"/>
            <w:tcBorders>
              <w:top w:val="nil"/>
              <w:left w:val="single" w:color="auto" w:sz="4" w:space="0"/>
              <w:bottom w:val="single" w:color="auto" w:sz="4" w:space="0"/>
              <w:right w:val="single" w:color="auto" w:sz="4" w:space="0"/>
            </w:tcBorders>
            <w:shd w:val="clear" w:color="000000" w:fill="CCE8CF"/>
            <w:noWrap w:val="0"/>
            <w:tcMar>
              <w:top w:w="15" w:type="dxa"/>
              <w:left w:w="15" w:type="dxa"/>
              <w:right w:w="15" w:type="dxa"/>
            </w:tcMar>
            <w:vAlign w:val="center"/>
          </w:tcPr>
          <w:p w14:paraId="4E41A8F3">
            <w:pPr>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牛</w:t>
            </w:r>
          </w:p>
        </w:tc>
        <w:tc>
          <w:tcPr>
            <w:tcW w:w="1106" w:type="dxa"/>
            <w:tcBorders>
              <w:top w:val="nil"/>
              <w:left w:val="nil"/>
              <w:bottom w:val="single" w:color="auto" w:sz="4" w:space="0"/>
              <w:right w:val="single" w:color="auto" w:sz="4" w:space="0"/>
            </w:tcBorders>
            <w:shd w:val="clear" w:color="000000" w:fill="CCE8CF"/>
            <w:noWrap w:val="0"/>
            <w:tcMar>
              <w:top w:w="15" w:type="dxa"/>
              <w:left w:w="15" w:type="dxa"/>
              <w:right w:w="15" w:type="dxa"/>
            </w:tcMar>
            <w:vAlign w:val="center"/>
          </w:tcPr>
          <w:p w14:paraId="6B7A241F">
            <w:pPr>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万头</w:t>
            </w:r>
          </w:p>
        </w:tc>
        <w:tc>
          <w:tcPr>
            <w:tcW w:w="1793" w:type="dxa"/>
            <w:tcBorders>
              <w:top w:val="nil"/>
              <w:left w:val="nil"/>
              <w:bottom w:val="single" w:color="auto" w:sz="4" w:space="0"/>
              <w:right w:val="single" w:color="auto" w:sz="4" w:space="0"/>
            </w:tcBorders>
            <w:shd w:val="clear" w:color="000000" w:fill="CCE8CF"/>
            <w:noWrap w:val="0"/>
            <w:tcMar>
              <w:top w:w="15" w:type="dxa"/>
              <w:left w:w="15" w:type="dxa"/>
              <w:right w:w="15" w:type="dxa"/>
            </w:tcMar>
            <w:vAlign w:val="bottom"/>
          </w:tcPr>
          <w:p w14:paraId="7FD0827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9.09</w:t>
            </w:r>
          </w:p>
        </w:tc>
        <w:tc>
          <w:tcPr>
            <w:tcW w:w="1578" w:type="dxa"/>
            <w:tcBorders>
              <w:top w:val="nil"/>
              <w:left w:val="nil"/>
              <w:bottom w:val="single" w:color="auto" w:sz="4" w:space="0"/>
              <w:right w:val="single" w:color="auto" w:sz="4" w:space="0"/>
            </w:tcBorders>
            <w:noWrap w:val="0"/>
            <w:tcMar>
              <w:top w:w="15" w:type="dxa"/>
              <w:left w:w="15" w:type="dxa"/>
              <w:right w:w="15" w:type="dxa"/>
            </w:tcMar>
            <w:vAlign w:val="bottom"/>
          </w:tcPr>
          <w:p w14:paraId="77D78F3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10.91</w:t>
            </w:r>
          </w:p>
        </w:tc>
        <w:tc>
          <w:tcPr>
            <w:tcW w:w="1381" w:type="dxa"/>
            <w:tcBorders>
              <w:top w:val="nil"/>
              <w:left w:val="nil"/>
              <w:bottom w:val="single" w:color="auto" w:sz="4" w:space="0"/>
              <w:right w:val="single" w:color="auto" w:sz="4" w:space="0"/>
            </w:tcBorders>
            <w:noWrap w:val="0"/>
            <w:tcMar>
              <w:top w:w="15" w:type="dxa"/>
              <w:left w:w="15" w:type="dxa"/>
              <w:right w:w="15" w:type="dxa"/>
            </w:tcMar>
            <w:vAlign w:val="bottom"/>
          </w:tcPr>
          <w:p w14:paraId="4837F1A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-16.68</w:t>
            </w:r>
          </w:p>
        </w:tc>
      </w:tr>
      <w:tr w14:paraId="0B7E6C9E">
        <w:tblPrEx>
          <w:tblCellMar>
            <w:top w:w="0" w:type="dxa"/>
            <w:left w:w="0" w:type="dxa"/>
            <w:bottom w:w="0" w:type="dxa"/>
            <w:right w:w="0" w:type="dxa"/>
          </w:tblCellMar>
        </w:tblPrEx>
        <w:trPr>
          <w:trHeight w:val="302" w:hRule="atLeast"/>
        </w:trPr>
        <w:tc>
          <w:tcPr>
            <w:tcW w:w="2265" w:type="dxa"/>
            <w:tcBorders>
              <w:top w:val="nil"/>
              <w:left w:val="single" w:color="auto" w:sz="4" w:space="0"/>
              <w:bottom w:val="single" w:color="auto" w:sz="4" w:space="0"/>
              <w:right w:val="single" w:color="auto" w:sz="4" w:space="0"/>
            </w:tcBorders>
            <w:shd w:val="clear" w:color="000000" w:fill="CCE8CF"/>
            <w:noWrap w:val="0"/>
            <w:tcMar>
              <w:top w:w="15" w:type="dxa"/>
              <w:left w:w="15" w:type="dxa"/>
              <w:right w:w="15" w:type="dxa"/>
            </w:tcMar>
            <w:vAlign w:val="center"/>
          </w:tcPr>
          <w:p w14:paraId="0E4B8740">
            <w:pPr>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羊</w:t>
            </w:r>
          </w:p>
        </w:tc>
        <w:tc>
          <w:tcPr>
            <w:tcW w:w="1106" w:type="dxa"/>
            <w:tcBorders>
              <w:top w:val="nil"/>
              <w:left w:val="nil"/>
              <w:bottom w:val="single" w:color="auto" w:sz="4" w:space="0"/>
              <w:right w:val="single" w:color="auto" w:sz="4" w:space="0"/>
            </w:tcBorders>
            <w:shd w:val="clear" w:color="000000" w:fill="CCE8CF"/>
            <w:noWrap w:val="0"/>
            <w:tcMar>
              <w:top w:w="15" w:type="dxa"/>
              <w:left w:w="15" w:type="dxa"/>
              <w:right w:w="15" w:type="dxa"/>
            </w:tcMar>
            <w:vAlign w:val="center"/>
          </w:tcPr>
          <w:p w14:paraId="23E60761">
            <w:pPr>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万只</w:t>
            </w:r>
          </w:p>
        </w:tc>
        <w:tc>
          <w:tcPr>
            <w:tcW w:w="1793" w:type="dxa"/>
            <w:tcBorders>
              <w:top w:val="nil"/>
              <w:left w:val="nil"/>
              <w:bottom w:val="single" w:color="auto" w:sz="4" w:space="0"/>
              <w:right w:val="single" w:color="auto" w:sz="4" w:space="0"/>
            </w:tcBorders>
            <w:shd w:val="clear" w:color="000000" w:fill="CCE8CF"/>
            <w:noWrap w:val="0"/>
            <w:tcMar>
              <w:top w:w="15" w:type="dxa"/>
              <w:left w:w="15" w:type="dxa"/>
              <w:right w:w="15" w:type="dxa"/>
            </w:tcMar>
            <w:vAlign w:val="bottom"/>
          </w:tcPr>
          <w:p w14:paraId="547E361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40.71</w:t>
            </w:r>
          </w:p>
        </w:tc>
        <w:tc>
          <w:tcPr>
            <w:tcW w:w="1578" w:type="dxa"/>
            <w:tcBorders>
              <w:top w:val="nil"/>
              <w:left w:val="nil"/>
              <w:bottom w:val="single" w:color="auto" w:sz="4" w:space="0"/>
              <w:right w:val="single" w:color="auto" w:sz="4" w:space="0"/>
            </w:tcBorders>
            <w:noWrap w:val="0"/>
            <w:tcMar>
              <w:top w:w="15" w:type="dxa"/>
              <w:left w:w="15" w:type="dxa"/>
              <w:right w:w="15" w:type="dxa"/>
            </w:tcMar>
            <w:vAlign w:val="bottom"/>
          </w:tcPr>
          <w:p w14:paraId="71FB6A0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51.86</w:t>
            </w:r>
          </w:p>
        </w:tc>
        <w:tc>
          <w:tcPr>
            <w:tcW w:w="1381" w:type="dxa"/>
            <w:tcBorders>
              <w:top w:val="nil"/>
              <w:left w:val="nil"/>
              <w:bottom w:val="single" w:color="auto" w:sz="4" w:space="0"/>
              <w:right w:val="single" w:color="auto" w:sz="4" w:space="0"/>
            </w:tcBorders>
            <w:noWrap w:val="0"/>
            <w:tcMar>
              <w:top w:w="15" w:type="dxa"/>
              <w:left w:w="15" w:type="dxa"/>
              <w:right w:w="15" w:type="dxa"/>
            </w:tcMar>
            <w:vAlign w:val="bottom"/>
          </w:tcPr>
          <w:p w14:paraId="443AD3E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-21.50</w:t>
            </w:r>
          </w:p>
        </w:tc>
      </w:tr>
      <w:tr w14:paraId="032D91FB">
        <w:tblPrEx>
          <w:tblCellMar>
            <w:top w:w="0" w:type="dxa"/>
            <w:left w:w="0" w:type="dxa"/>
            <w:bottom w:w="0" w:type="dxa"/>
            <w:right w:w="0" w:type="dxa"/>
          </w:tblCellMar>
        </w:tblPrEx>
        <w:trPr>
          <w:trHeight w:val="451" w:hRule="atLeast"/>
        </w:trPr>
        <w:tc>
          <w:tcPr>
            <w:tcW w:w="2265" w:type="dxa"/>
            <w:tcBorders>
              <w:top w:val="nil"/>
              <w:left w:val="single" w:color="auto" w:sz="4" w:space="0"/>
              <w:bottom w:val="single" w:color="auto" w:sz="4" w:space="0"/>
              <w:right w:val="single" w:color="auto" w:sz="4" w:space="0"/>
            </w:tcBorders>
            <w:shd w:val="clear" w:color="000000" w:fill="CCE8CF"/>
            <w:noWrap w:val="0"/>
            <w:tcMar>
              <w:top w:w="15" w:type="dxa"/>
              <w:left w:w="15" w:type="dxa"/>
              <w:right w:w="15" w:type="dxa"/>
            </w:tcMar>
            <w:vAlign w:val="center"/>
          </w:tcPr>
          <w:p w14:paraId="2618FEFA">
            <w:pPr>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活家禽</w:t>
            </w:r>
          </w:p>
        </w:tc>
        <w:tc>
          <w:tcPr>
            <w:tcW w:w="1106" w:type="dxa"/>
            <w:tcBorders>
              <w:top w:val="nil"/>
              <w:left w:val="nil"/>
              <w:bottom w:val="single" w:color="auto" w:sz="4" w:space="0"/>
              <w:right w:val="single" w:color="auto" w:sz="4" w:space="0"/>
            </w:tcBorders>
            <w:shd w:val="clear" w:color="000000" w:fill="CCE8CF"/>
            <w:noWrap w:val="0"/>
            <w:tcMar>
              <w:top w:w="15" w:type="dxa"/>
              <w:left w:w="15" w:type="dxa"/>
              <w:right w:w="15" w:type="dxa"/>
            </w:tcMar>
            <w:vAlign w:val="center"/>
          </w:tcPr>
          <w:p w14:paraId="6495FF19">
            <w:pPr>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万只</w:t>
            </w:r>
          </w:p>
        </w:tc>
        <w:tc>
          <w:tcPr>
            <w:tcW w:w="1793" w:type="dxa"/>
            <w:tcBorders>
              <w:top w:val="nil"/>
              <w:left w:val="nil"/>
              <w:bottom w:val="single" w:color="auto" w:sz="4" w:space="0"/>
              <w:right w:val="single" w:color="auto" w:sz="4" w:space="0"/>
            </w:tcBorders>
            <w:shd w:val="clear" w:color="000000" w:fill="CCE8CF"/>
            <w:noWrap w:val="0"/>
            <w:tcMar>
              <w:top w:w="15" w:type="dxa"/>
              <w:left w:w="15" w:type="dxa"/>
              <w:right w:w="15" w:type="dxa"/>
            </w:tcMar>
            <w:vAlign w:val="bottom"/>
          </w:tcPr>
          <w:p w14:paraId="277F23E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0.81</w:t>
            </w:r>
          </w:p>
        </w:tc>
        <w:tc>
          <w:tcPr>
            <w:tcW w:w="1578" w:type="dxa"/>
            <w:tcBorders>
              <w:top w:val="nil"/>
              <w:left w:val="nil"/>
              <w:bottom w:val="single" w:color="auto" w:sz="4" w:space="0"/>
              <w:right w:val="single" w:color="auto" w:sz="4" w:space="0"/>
            </w:tcBorders>
            <w:noWrap w:val="0"/>
            <w:tcMar>
              <w:top w:w="15" w:type="dxa"/>
              <w:left w:w="15" w:type="dxa"/>
              <w:right w:w="15" w:type="dxa"/>
            </w:tcMar>
            <w:vAlign w:val="bottom"/>
          </w:tcPr>
          <w:p w14:paraId="7FBACA4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0.46</w:t>
            </w:r>
          </w:p>
        </w:tc>
        <w:tc>
          <w:tcPr>
            <w:tcW w:w="1381" w:type="dxa"/>
            <w:tcBorders>
              <w:top w:val="nil"/>
              <w:left w:val="nil"/>
              <w:bottom w:val="single" w:color="auto" w:sz="4" w:space="0"/>
              <w:right w:val="single" w:color="auto" w:sz="4" w:space="0"/>
            </w:tcBorders>
            <w:noWrap w:val="0"/>
            <w:tcMar>
              <w:top w:w="15" w:type="dxa"/>
              <w:left w:w="15" w:type="dxa"/>
              <w:right w:w="15" w:type="dxa"/>
            </w:tcMar>
            <w:vAlign w:val="bottom"/>
          </w:tcPr>
          <w:p w14:paraId="29C74F0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74.34</w:t>
            </w:r>
          </w:p>
        </w:tc>
      </w:tr>
      <w:tr w14:paraId="21ABDA45">
        <w:tblPrEx>
          <w:tblCellMar>
            <w:top w:w="0" w:type="dxa"/>
            <w:left w:w="0" w:type="dxa"/>
            <w:bottom w:w="0" w:type="dxa"/>
            <w:right w:w="0" w:type="dxa"/>
          </w:tblCellMar>
        </w:tblPrEx>
        <w:trPr>
          <w:trHeight w:val="467" w:hRule="atLeast"/>
        </w:trPr>
        <w:tc>
          <w:tcPr>
            <w:tcW w:w="2265" w:type="dxa"/>
            <w:tcBorders>
              <w:top w:val="nil"/>
              <w:left w:val="single" w:color="auto" w:sz="4" w:space="0"/>
              <w:bottom w:val="single" w:color="auto" w:sz="4" w:space="0"/>
              <w:right w:val="single" w:color="auto" w:sz="4" w:space="0"/>
            </w:tcBorders>
            <w:shd w:val="clear" w:color="000000" w:fill="CCE8CF"/>
            <w:noWrap w:val="0"/>
            <w:tcMar>
              <w:top w:w="15" w:type="dxa"/>
              <w:left w:w="15" w:type="dxa"/>
              <w:right w:w="15" w:type="dxa"/>
            </w:tcMar>
            <w:vAlign w:val="center"/>
          </w:tcPr>
          <w:p w14:paraId="3738C2A0">
            <w:pPr>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kern w:val="0"/>
                <w:sz w:val="21"/>
                <w:szCs w:val="21"/>
              </w:rPr>
              <w:t>二、畜禽出栏</w:t>
            </w:r>
          </w:p>
        </w:tc>
        <w:tc>
          <w:tcPr>
            <w:tcW w:w="1106" w:type="dxa"/>
            <w:tcBorders>
              <w:top w:val="nil"/>
              <w:left w:val="nil"/>
              <w:bottom w:val="single" w:color="auto" w:sz="4" w:space="0"/>
              <w:right w:val="single" w:color="auto" w:sz="4" w:space="0"/>
            </w:tcBorders>
            <w:shd w:val="clear" w:color="000000" w:fill="CCE8CF"/>
            <w:noWrap w:val="0"/>
            <w:tcMar>
              <w:top w:w="15" w:type="dxa"/>
              <w:left w:w="15" w:type="dxa"/>
              <w:right w:w="15" w:type="dxa"/>
            </w:tcMar>
            <w:vAlign w:val="center"/>
          </w:tcPr>
          <w:p w14:paraId="3F67D551">
            <w:pPr>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kern w:val="0"/>
                <w:sz w:val="21"/>
                <w:szCs w:val="21"/>
              </w:rPr>
              <w:t>—</w:t>
            </w:r>
          </w:p>
        </w:tc>
        <w:tc>
          <w:tcPr>
            <w:tcW w:w="1793" w:type="dxa"/>
            <w:tcBorders>
              <w:top w:val="nil"/>
              <w:left w:val="nil"/>
              <w:bottom w:val="single" w:color="auto" w:sz="4" w:space="0"/>
              <w:right w:val="single" w:color="auto" w:sz="4" w:space="0"/>
            </w:tcBorders>
            <w:shd w:val="clear" w:color="000000" w:fill="CCE8CF"/>
            <w:noWrap w:val="0"/>
            <w:tcMar>
              <w:top w:w="15" w:type="dxa"/>
              <w:left w:w="15" w:type="dxa"/>
              <w:right w:w="15" w:type="dxa"/>
            </w:tcMar>
            <w:vAlign w:val="center"/>
          </w:tcPr>
          <w:p w14:paraId="1F92810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p>
        </w:tc>
        <w:tc>
          <w:tcPr>
            <w:tcW w:w="1578" w:type="dxa"/>
            <w:tcBorders>
              <w:top w:val="nil"/>
              <w:left w:val="nil"/>
              <w:bottom w:val="single" w:color="auto" w:sz="4" w:space="0"/>
              <w:right w:val="single" w:color="auto" w:sz="4" w:space="0"/>
            </w:tcBorders>
            <w:noWrap w:val="0"/>
            <w:tcMar>
              <w:top w:w="15" w:type="dxa"/>
              <w:left w:w="15" w:type="dxa"/>
              <w:right w:w="15" w:type="dxa"/>
            </w:tcMar>
            <w:vAlign w:val="center"/>
          </w:tcPr>
          <w:p w14:paraId="5C5B1A9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p>
        </w:tc>
        <w:tc>
          <w:tcPr>
            <w:tcW w:w="1381" w:type="dxa"/>
            <w:tcBorders>
              <w:top w:val="nil"/>
              <w:left w:val="nil"/>
              <w:bottom w:val="single" w:color="auto" w:sz="4" w:space="0"/>
              <w:right w:val="single" w:color="auto" w:sz="4" w:space="0"/>
            </w:tcBorders>
            <w:noWrap w:val="0"/>
            <w:tcMar>
              <w:top w:w="15" w:type="dxa"/>
              <w:left w:w="15" w:type="dxa"/>
              <w:right w:w="15" w:type="dxa"/>
            </w:tcMar>
            <w:vAlign w:val="center"/>
          </w:tcPr>
          <w:p w14:paraId="2385921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p>
        </w:tc>
      </w:tr>
      <w:tr w14:paraId="7D599EEB">
        <w:tblPrEx>
          <w:tblCellMar>
            <w:top w:w="0" w:type="dxa"/>
            <w:left w:w="0" w:type="dxa"/>
            <w:bottom w:w="0" w:type="dxa"/>
            <w:right w:w="0" w:type="dxa"/>
          </w:tblCellMar>
        </w:tblPrEx>
        <w:trPr>
          <w:trHeight w:val="327" w:hRule="atLeast"/>
        </w:trPr>
        <w:tc>
          <w:tcPr>
            <w:tcW w:w="2265" w:type="dxa"/>
            <w:tcBorders>
              <w:top w:val="nil"/>
              <w:left w:val="single" w:color="auto" w:sz="4" w:space="0"/>
              <w:bottom w:val="single" w:color="auto" w:sz="4" w:space="0"/>
              <w:right w:val="single" w:color="auto" w:sz="4" w:space="0"/>
            </w:tcBorders>
            <w:shd w:val="clear" w:color="000000" w:fill="CCE8CF"/>
            <w:noWrap w:val="0"/>
            <w:tcMar>
              <w:top w:w="15" w:type="dxa"/>
              <w:left w:w="15" w:type="dxa"/>
              <w:right w:w="15" w:type="dxa"/>
            </w:tcMar>
            <w:vAlign w:val="center"/>
          </w:tcPr>
          <w:p w14:paraId="7192F57E">
            <w:pPr>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猪</w:t>
            </w:r>
          </w:p>
        </w:tc>
        <w:tc>
          <w:tcPr>
            <w:tcW w:w="1106" w:type="dxa"/>
            <w:tcBorders>
              <w:top w:val="nil"/>
              <w:left w:val="nil"/>
              <w:bottom w:val="single" w:color="auto" w:sz="4" w:space="0"/>
              <w:right w:val="single" w:color="auto" w:sz="4" w:space="0"/>
            </w:tcBorders>
            <w:shd w:val="clear" w:color="000000" w:fill="CCE8CF"/>
            <w:noWrap w:val="0"/>
            <w:tcMar>
              <w:top w:w="15" w:type="dxa"/>
              <w:left w:w="15" w:type="dxa"/>
              <w:right w:w="15" w:type="dxa"/>
            </w:tcMar>
            <w:vAlign w:val="center"/>
          </w:tcPr>
          <w:p w14:paraId="5AA4A423">
            <w:pPr>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万头</w:t>
            </w:r>
          </w:p>
        </w:tc>
        <w:tc>
          <w:tcPr>
            <w:tcW w:w="1793" w:type="dxa"/>
            <w:tcBorders>
              <w:top w:val="nil"/>
              <w:left w:val="nil"/>
              <w:bottom w:val="single" w:color="auto" w:sz="4" w:space="0"/>
              <w:right w:val="single" w:color="auto" w:sz="4" w:space="0"/>
            </w:tcBorders>
            <w:shd w:val="clear" w:color="000000" w:fill="CCE8CF"/>
            <w:noWrap w:val="0"/>
            <w:tcMar>
              <w:top w:w="15" w:type="dxa"/>
              <w:left w:w="15" w:type="dxa"/>
              <w:right w:w="15" w:type="dxa"/>
            </w:tcMar>
            <w:vAlign w:val="bottom"/>
          </w:tcPr>
          <w:p w14:paraId="236E78B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0.23</w:t>
            </w:r>
          </w:p>
        </w:tc>
        <w:tc>
          <w:tcPr>
            <w:tcW w:w="1578" w:type="dxa"/>
            <w:tcBorders>
              <w:top w:val="nil"/>
              <w:left w:val="nil"/>
              <w:bottom w:val="single" w:color="auto" w:sz="4" w:space="0"/>
              <w:right w:val="single" w:color="auto" w:sz="4" w:space="0"/>
            </w:tcBorders>
            <w:noWrap w:val="0"/>
            <w:tcMar>
              <w:top w:w="15" w:type="dxa"/>
              <w:left w:w="15" w:type="dxa"/>
              <w:right w:w="15" w:type="dxa"/>
            </w:tcMar>
            <w:vAlign w:val="bottom"/>
          </w:tcPr>
          <w:p w14:paraId="3A1ED64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0.23</w:t>
            </w:r>
          </w:p>
        </w:tc>
        <w:tc>
          <w:tcPr>
            <w:tcW w:w="1381" w:type="dxa"/>
            <w:tcBorders>
              <w:top w:val="nil"/>
              <w:left w:val="nil"/>
              <w:bottom w:val="single" w:color="auto" w:sz="4" w:space="0"/>
              <w:right w:val="single" w:color="auto" w:sz="4" w:space="0"/>
            </w:tcBorders>
            <w:noWrap w:val="0"/>
            <w:tcMar>
              <w:top w:w="15" w:type="dxa"/>
              <w:left w:w="15" w:type="dxa"/>
              <w:right w:w="15" w:type="dxa"/>
            </w:tcMar>
            <w:vAlign w:val="bottom"/>
          </w:tcPr>
          <w:p w14:paraId="59E8537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w:t>
            </w:r>
          </w:p>
        </w:tc>
      </w:tr>
      <w:tr w14:paraId="1D6178B5">
        <w:tblPrEx>
          <w:tblCellMar>
            <w:top w:w="0" w:type="dxa"/>
            <w:left w:w="0" w:type="dxa"/>
            <w:bottom w:w="0" w:type="dxa"/>
            <w:right w:w="0" w:type="dxa"/>
          </w:tblCellMar>
        </w:tblPrEx>
        <w:trPr>
          <w:trHeight w:val="359" w:hRule="atLeast"/>
        </w:trPr>
        <w:tc>
          <w:tcPr>
            <w:tcW w:w="2265" w:type="dxa"/>
            <w:tcBorders>
              <w:top w:val="nil"/>
              <w:left w:val="single" w:color="auto" w:sz="4" w:space="0"/>
              <w:bottom w:val="single" w:color="auto" w:sz="4" w:space="0"/>
              <w:right w:val="single" w:color="auto" w:sz="4" w:space="0"/>
            </w:tcBorders>
            <w:shd w:val="clear" w:color="000000" w:fill="CCE8CF"/>
            <w:noWrap w:val="0"/>
            <w:tcMar>
              <w:top w:w="15" w:type="dxa"/>
              <w:left w:w="15" w:type="dxa"/>
              <w:right w:w="15" w:type="dxa"/>
            </w:tcMar>
            <w:vAlign w:val="center"/>
          </w:tcPr>
          <w:p w14:paraId="02985612">
            <w:pPr>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牛</w:t>
            </w:r>
          </w:p>
        </w:tc>
        <w:tc>
          <w:tcPr>
            <w:tcW w:w="1106" w:type="dxa"/>
            <w:tcBorders>
              <w:top w:val="nil"/>
              <w:left w:val="nil"/>
              <w:bottom w:val="single" w:color="auto" w:sz="4" w:space="0"/>
              <w:right w:val="single" w:color="auto" w:sz="4" w:space="0"/>
            </w:tcBorders>
            <w:shd w:val="clear" w:color="000000" w:fill="CCE8CF"/>
            <w:noWrap w:val="0"/>
            <w:tcMar>
              <w:top w:w="15" w:type="dxa"/>
              <w:left w:w="15" w:type="dxa"/>
              <w:right w:w="15" w:type="dxa"/>
            </w:tcMar>
            <w:vAlign w:val="center"/>
          </w:tcPr>
          <w:p w14:paraId="2A64882E">
            <w:pPr>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万头</w:t>
            </w:r>
          </w:p>
        </w:tc>
        <w:tc>
          <w:tcPr>
            <w:tcW w:w="1793" w:type="dxa"/>
            <w:tcBorders>
              <w:top w:val="nil"/>
              <w:left w:val="nil"/>
              <w:bottom w:val="single" w:color="auto" w:sz="4" w:space="0"/>
              <w:right w:val="single" w:color="auto" w:sz="4" w:space="0"/>
            </w:tcBorders>
            <w:shd w:val="clear" w:color="000000" w:fill="CCE8CF"/>
            <w:noWrap w:val="0"/>
            <w:tcMar>
              <w:top w:w="15" w:type="dxa"/>
              <w:left w:w="15" w:type="dxa"/>
              <w:right w:w="15" w:type="dxa"/>
            </w:tcMar>
            <w:vAlign w:val="bottom"/>
          </w:tcPr>
          <w:p w14:paraId="7335E98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1.41</w:t>
            </w:r>
          </w:p>
        </w:tc>
        <w:tc>
          <w:tcPr>
            <w:tcW w:w="1578" w:type="dxa"/>
            <w:tcBorders>
              <w:top w:val="nil"/>
              <w:left w:val="nil"/>
              <w:bottom w:val="single" w:color="auto" w:sz="4" w:space="0"/>
              <w:right w:val="single" w:color="auto" w:sz="4" w:space="0"/>
            </w:tcBorders>
            <w:noWrap w:val="0"/>
            <w:tcMar>
              <w:top w:w="15" w:type="dxa"/>
              <w:left w:w="15" w:type="dxa"/>
              <w:right w:w="15" w:type="dxa"/>
            </w:tcMar>
            <w:vAlign w:val="bottom"/>
          </w:tcPr>
          <w:p w14:paraId="398198E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1.24</w:t>
            </w:r>
          </w:p>
        </w:tc>
        <w:tc>
          <w:tcPr>
            <w:tcW w:w="1381" w:type="dxa"/>
            <w:tcBorders>
              <w:top w:val="nil"/>
              <w:left w:val="nil"/>
              <w:bottom w:val="single" w:color="auto" w:sz="4" w:space="0"/>
              <w:right w:val="single" w:color="auto" w:sz="4" w:space="0"/>
            </w:tcBorders>
            <w:noWrap w:val="0"/>
            <w:tcMar>
              <w:top w:w="15" w:type="dxa"/>
              <w:left w:w="15" w:type="dxa"/>
              <w:right w:w="15" w:type="dxa"/>
            </w:tcMar>
            <w:vAlign w:val="bottom"/>
          </w:tcPr>
          <w:p w14:paraId="3C84857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14.02</w:t>
            </w:r>
          </w:p>
        </w:tc>
      </w:tr>
      <w:tr w14:paraId="63B6B773">
        <w:tblPrEx>
          <w:tblCellMar>
            <w:top w:w="0" w:type="dxa"/>
            <w:left w:w="0" w:type="dxa"/>
            <w:bottom w:w="0" w:type="dxa"/>
            <w:right w:w="0" w:type="dxa"/>
          </w:tblCellMar>
        </w:tblPrEx>
        <w:trPr>
          <w:trHeight w:val="357" w:hRule="atLeast"/>
        </w:trPr>
        <w:tc>
          <w:tcPr>
            <w:tcW w:w="2265" w:type="dxa"/>
            <w:tcBorders>
              <w:top w:val="nil"/>
              <w:left w:val="single" w:color="auto" w:sz="4" w:space="0"/>
              <w:bottom w:val="single" w:color="auto" w:sz="4" w:space="0"/>
              <w:right w:val="single" w:color="auto" w:sz="4" w:space="0"/>
            </w:tcBorders>
            <w:shd w:val="clear" w:color="000000" w:fill="CCE8CF"/>
            <w:noWrap w:val="0"/>
            <w:tcMar>
              <w:top w:w="15" w:type="dxa"/>
              <w:left w:w="15" w:type="dxa"/>
              <w:right w:w="15" w:type="dxa"/>
            </w:tcMar>
            <w:vAlign w:val="center"/>
          </w:tcPr>
          <w:p w14:paraId="272574F8">
            <w:pPr>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羊</w:t>
            </w:r>
          </w:p>
        </w:tc>
        <w:tc>
          <w:tcPr>
            <w:tcW w:w="1106" w:type="dxa"/>
            <w:tcBorders>
              <w:top w:val="nil"/>
              <w:left w:val="nil"/>
              <w:bottom w:val="single" w:color="auto" w:sz="4" w:space="0"/>
              <w:right w:val="single" w:color="auto" w:sz="4" w:space="0"/>
            </w:tcBorders>
            <w:shd w:val="clear" w:color="000000" w:fill="CCE8CF"/>
            <w:noWrap w:val="0"/>
            <w:tcMar>
              <w:top w:w="15" w:type="dxa"/>
              <w:left w:w="15" w:type="dxa"/>
              <w:right w:w="15" w:type="dxa"/>
            </w:tcMar>
            <w:vAlign w:val="center"/>
          </w:tcPr>
          <w:p w14:paraId="773B2C8B">
            <w:pPr>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万只</w:t>
            </w:r>
          </w:p>
        </w:tc>
        <w:tc>
          <w:tcPr>
            <w:tcW w:w="1793" w:type="dxa"/>
            <w:tcBorders>
              <w:top w:val="nil"/>
              <w:left w:val="nil"/>
              <w:bottom w:val="single" w:color="auto" w:sz="4" w:space="0"/>
              <w:right w:val="single" w:color="auto" w:sz="4" w:space="0"/>
            </w:tcBorders>
            <w:shd w:val="clear" w:color="000000" w:fill="CCE8CF"/>
            <w:noWrap w:val="0"/>
            <w:tcMar>
              <w:top w:w="15" w:type="dxa"/>
              <w:left w:w="15" w:type="dxa"/>
              <w:right w:w="15" w:type="dxa"/>
            </w:tcMar>
            <w:vAlign w:val="bottom"/>
          </w:tcPr>
          <w:p w14:paraId="56956B2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16.12</w:t>
            </w:r>
          </w:p>
        </w:tc>
        <w:tc>
          <w:tcPr>
            <w:tcW w:w="1578" w:type="dxa"/>
            <w:tcBorders>
              <w:top w:val="nil"/>
              <w:left w:val="nil"/>
              <w:bottom w:val="single" w:color="auto" w:sz="4" w:space="0"/>
              <w:right w:val="single" w:color="auto" w:sz="4" w:space="0"/>
            </w:tcBorders>
            <w:noWrap w:val="0"/>
            <w:tcMar>
              <w:top w:w="15" w:type="dxa"/>
              <w:left w:w="15" w:type="dxa"/>
              <w:right w:w="15" w:type="dxa"/>
            </w:tcMar>
            <w:vAlign w:val="bottom"/>
          </w:tcPr>
          <w:p w14:paraId="59B6801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13.09</w:t>
            </w:r>
          </w:p>
        </w:tc>
        <w:tc>
          <w:tcPr>
            <w:tcW w:w="1381" w:type="dxa"/>
            <w:tcBorders>
              <w:top w:val="nil"/>
              <w:left w:val="nil"/>
              <w:bottom w:val="single" w:color="auto" w:sz="4" w:space="0"/>
              <w:right w:val="single" w:color="auto" w:sz="4" w:space="0"/>
            </w:tcBorders>
            <w:noWrap w:val="0"/>
            <w:tcMar>
              <w:top w:w="15" w:type="dxa"/>
              <w:left w:w="15" w:type="dxa"/>
              <w:right w:w="15" w:type="dxa"/>
            </w:tcMar>
            <w:vAlign w:val="bottom"/>
          </w:tcPr>
          <w:p w14:paraId="3789BE3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23.15</w:t>
            </w:r>
          </w:p>
        </w:tc>
      </w:tr>
      <w:tr w14:paraId="2B5E1329">
        <w:tblPrEx>
          <w:tblCellMar>
            <w:top w:w="0" w:type="dxa"/>
            <w:left w:w="0" w:type="dxa"/>
            <w:bottom w:w="0" w:type="dxa"/>
            <w:right w:w="0" w:type="dxa"/>
          </w:tblCellMar>
        </w:tblPrEx>
        <w:trPr>
          <w:trHeight w:val="380" w:hRule="atLeast"/>
        </w:trPr>
        <w:tc>
          <w:tcPr>
            <w:tcW w:w="2265" w:type="dxa"/>
            <w:tcBorders>
              <w:top w:val="nil"/>
              <w:left w:val="single" w:color="auto" w:sz="4" w:space="0"/>
              <w:bottom w:val="single" w:color="auto" w:sz="4" w:space="0"/>
              <w:right w:val="single" w:color="auto" w:sz="4" w:space="0"/>
            </w:tcBorders>
            <w:shd w:val="clear" w:color="000000" w:fill="CCE8CF"/>
            <w:noWrap w:val="0"/>
            <w:tcMar>
              <w:top w:w="15" w:type="dxa"/>
              <w:left w:w="15" w:type="dxa"/>
              <w:right w:w="15" w:type="dxa"/>
            </w:tcMar>
            <w:vAlign w:val="center"/>
          </w:tcPr>
          <w:p w14:paraId="525A6476">
            <w:pPr>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活家禽</w:t>
            </w:r>
          </w:p>
        </w:tc>
        <w:tc>
          <w:tcPr>
            <w:tcW w:w="1106" w:type="dxa"/>
            <w:tcBorders>
              <w:top w:val="nil"/>
              <w:left w:val="nil"/>
              <w:bottom w:val="single" w:color="auto" w:sz="4" w:space="0"/>
              <w:right w:val="single" w:color="auto" w:sz="4" w:space="0"/>
            </w:tcBorders>
            <w:shd w:val="clear" w:color="000000" w:fill="CCE8CF"/>
            <w:noWrap w:val="0"/>
            <w:tcMar>
              <w:top w:w="15" w:type="dxa"/>
              <w:left w:w="15" w:type="dxa"/>
              <w:right w:w="15" w:type="dxa"/>
            </w:tcMar>
            <w:vAlign w:val="center"/>
          </w:tcPr>
          <w:p w14:paraId="184DEECE">
            <w:pPr>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万只</w:t>
            </w:r>
          </w:p>
        </w:tc>
        <w:tc>
          <w:tcPr>
            <w:tcW w:w="1793" w:type="dxa"/>
            <w:tcBorders>
              <w:top w:val="nil"/>
              <w:left w:val="nil"/>
              <w:bottom w:val="single" w:color="auto" w:sz="4" w:space="0"/>
              <w:right w:val="single" w:color="auto" w:sz="4" w:space="0"/>
            </w:tcBorders>
            <w:shd w:val="clear" w:color="000000" w:fill="CCE8CF"/>
            <w:noWrap w:val="0"/>
            <w:tcMar>
              <w:top w:w="15" w:type="dxa"/>
              <w:left w:w="15" w:type="dxa"/>
              <w:right w:w="15" w:type="dxa"/>
            </w:tcMar>
            <w:vAlign w:val="bottom"/>
          </w:tcPr>
          <w:p w14:paraId="710FA5F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0.81</w:t>
            </w:r>
          </w:p>
        </w:tc>
        <w:tc>
          <w:tcPr>
            <w:tcW w:w="1578" w:type="dxa"/>
            <w:tcBorders>
              <w:top w:val="nil"/>
              <w:left w:val="nil"/>
              <w:bottom w:val="single" w:color="auto" w:sz="4" w:space="0"/>
              <w:right w:val="single" w:color="auto" w:sz="4" w:space="0"/>
            </w:tcBorders>
            <w:noWrap w:val="0"/>
            <w:tcMar>
              <w:top w:w="15" w:type="dxa"/>
              <w:left w:w="15" w:type="dxa"/>
              <w:right w:w="15" w:type="dxa"/>
            </w:tcMar>
            <w:vAlign w:val="bottom"/>
          </w:tcPr>
          <w:p w14:paraId="42E99B0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0.49</w:t>
            </w:r>
          </w:p>
        </w:tc>
        <w:tc>
          <w:tcPr>
            <w:tcW w:w="1381" w:type="dxa"/>
            <w:tcBorders>
              <w:top w:val="nil"/>
              <w:left w:val="nil"/>
              <w:bottom w:val="single" w:color="auto" w:sz="4" w:space="0"/>
              <w:right w:val="single" w:color="auto" w:sz="4" w:space="0"/>
            </w:tcBorders>
            <w:noWrap w:val="0"/>
            <w:tcMar>
              <w:top w:w="15" w:type="dxa"/>
              <w:left w:w="15" w:type="dxa"/>
              <w:right w:w="15" w:type="dxa"/>
            </w:tcMar>
            <w:vAlign w:val="bottom"/>
          </w:tcPr>
          <w:p w14:paraId="31E8225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63.34</w:t>
            </w:r>
          </w:p>
        </w:tc>
      </w:tr>
      <w:tr w14:paraId="355CDFE6">
        <w:tblPrEx>
          <w:tblCellMar>
            <w:top w:w="0" w:type="dxa"/>
            <w:left w:w="0" w:type="dxa"/>
            <w:bottom w:w="0" w:type="dxa"/>
            <w:right w:w="0" w:type="dxa"/>
          </w:tblCellMar>
        </w:tblPrEx>
        <w:trPr>
          <w:trHeight w:val="452" w:hRule="atLeast"/>
        </w:trPr>
        <w:tc>
          <w:tcPr>
            <w:tcW w:w="2265" w:type="dxa"/>
            <w:tcBorders>
              <w:top w:val="nil"/>
              <w:left w:val="single" w:color="auto" w:sz="4" w:space="0"/>
              <w:bottom w:val="single" w:color="auto" w:sz="4" w:space="0"/>
              <w:right w:val="single" w:color="auto" w:sz="4" w:space="0"/>
            </w:tcBorders>
            <w:shd w:val="clear" w:color="000000" w:fill="CCE8CF"/>
            <w:noWrap w:val="0"/>
            <w:tcMar>
              <w:top w:w="15" w:type="dxa"/>
              <w:left w:w="15" w:type="dxa"/>
              <w:right w:w="15" w:type="dxa"/>
            </w:tcMar>
            <w:vAlign w:val="center"/>
          </w:tcPr>
          <w:p w14:paraId="157F26CF">
            <w:pPr>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kern w:val="0"/>
                <w:sz w:val="21"/>
                <w:szCs w:val="21"/>
              </w:rPr>
              <w:t>三、畜禽产品产量</w:t>
            </w:r>
          </w:p>
        </w:tc>
        <w:tc>
          <w:tcPr>
            <w:tcW w:w="1106" w:type="dxa"/>
            <w:tcBorders>
              <w:top w:val="nil"/>
              <w:left w:val="nil"/>
              <w:bottom w:val="single" w:color="auto" w:sz="4" w:space="0"/>
              <w:right w:val="single" w:color="auto" w:sz="4" w:space="0"/>
            </w:tcBorders>
            <w:shd w:val="clear" w:color="000000" w:fill="CCE8CF"/>
            <w:noWrap w:val="0"/>
            <w:tcMar>
              <w:top w:w="15" w:type="dxa"/>
              <w:left w:w="15" w:type="dxa"/>
              <w:right w:w="15" w:type="dxa"/>
            </w:tcMar>
            <w:vAlign w:val="center"/>
          </w:tcPr>
          <w:p w14:paraId="6D03DAE5">
            <w:pPr>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kern w:val="0"/>
                <w:sz w:val="21"/>
                <w:szCs w:val="21"/>
              </w:rPr>
              <w:t>—</w:t>
            </w:r>
          </w:p>
        </w:tc>
        <w:tc>
          <w:tcPr>
            <w:tcW w:w="1793" w:type="dxa"/>
            <w:tcBorders>
              <w:top w:val="nil"/>
              <w:left w:val="nil"/>
              <w:bottom w:val="single" w:color="auto" w:sz="4" w:space="0"/>
              <w:right w:val="single" w:color="auto" w:sz="4" w:space="0"/>
            </w:tcBorders>
            <w:shd w:val="clear" w:color="000000" w:fill="CCE8CF"/>
            <w:noWrap w:val="0"/>
            <w:tcMar>
              <w:top w:w="15" w:type="dxa"/>
              <w:left w:w="15" w:type="dxa"/>
              <w:right w:w="15" w:type="dxa"/>
            </w:tcMar>
            <w:vAlign w:val="center"/>
          </w:tcPr>
          <w:p w14:paraId="2D52C64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p>
        </w:tc>
        <w:tc>
          <w:tcPr>
            <w:tcW w:w="1578" w:type="dxa"/>
            <w:tcBorders>
              <w:top w:val="nil"/>
              <w:left w:val="nil"/>
              <w:bottom w:val="single" w:color="auto" w:sz="4" w:space="0"/>
              <w:right w:val="single" w:color="auto" w:sz="4" w:space="0"/>
            </w:tcBorders>
            <w:noWrap w:val="0"/>
            <w:tcMar>
              <w:top w:w="15" w:type="dxa"/>
              <w:left w:w="15" w:type="dxa"/>
              <w:right w:w="15" w:type="dxa"/>
            </w:tcMar>
            <w:vAlign w:val="center"/>
          </w:tcPr>
          <w:p w14:paraId="6FCECF0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p>
        </w:tc>
        <w:tc>
          <w:tcPr>
            <w:tcW w:w="1381" w:type="dxa"/>
            <w:tcBorders>
              <w:top w:val="nil"/>
              <w:left w:val="nil"/>
              <w:bottom w:val="single" w:color="auto" w:sz="4" w:space="0"/>
              <w:right w:val="single" w:color="auto" w:sz="4" w:space="0"/>
            </w:tcBorders>
            <w:noWrap w:val="0"/>
            <w:tcMar>
              <w:top w:w="15" w:type="dxa"/>
              <w:left w:w="15" w:type="dxa"/>
              <w:right w:w="15" w:type="dxa"/>
            </w:tcMar>
            <w:vAlign w:val="center"/>
          </w:tcPr>
          <w:p w14:paraId="42472A3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p>
        </w:tc>
      </w:tr>
      <w:tr w14:paraId="6AA5E3EF">
        <w:tblPrEx>
          <w:tblCellMar>
            <w:top w:w="0" w:type="dxa"/>
            <w:left w:w="0" w:type="dxa"/>
            <w:bottom w:w="0" w:type="dxa"/>
            <w:right w:w="0" w:type="dxa"/>
          </w:tblCellMar>
        </w:tblPrEx>
        <w:trPr>
          <w:trHeight w:val="364" w:hRule="atLeast"/>
        </w:trPr>
        <w:tc>
          <w:tcPr>
            <w:tcW w:w="2265" w:type="dxa"/>
            <w:tcBorders>
              <w:top w:val="nil"/>
              <w:left w:val="single" w:color="auto" w:sz="4" w:space="0"/>
              <w:bottom w:val="single" w:color="auto" w:sz="4" w:space="0"/>
              <w:right w:val="single" w:color="auto" w:sz="4" w:space="0"/>
            </w:tcBorders>
            <w:shd w:val="clear" w:color="000000" w:fill="CCE8CF"/>
            <w:noWrap w:val="0"/>
            <w:tcMar>
              <w:top w:w="15" w:type="dxa"/>
              <w:left w:w="15" w:type="dxa"/>
              <w:right w:w="15" w:type="dxa"/>
            </w:tcMar>
            <w:vAlign w:val="center"/>
          </w:tcPr>
          <w:p w14:paraId="77D4BDAC">
            <w:pPr>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猪肉</w:t>
            </w:r>
          </w:p>
        </w:tc>
        <w:tc>
          <w:tcPr>
            <w:tcW w:w="1106" w:type="dxa"/>
            <w:tcBorders>
              <w:top w:val="nil"/>
              <w:left w:val="nil"/>
              <w:bottom w:val="single" w:color="auto" w:sz="4" w:space="0"/>
              <w:right w:val="single" w:color="auto" w:sz="4" w:space="0"/>
            </w:tcBorders>
            <w:shd w:val="clear" w:color="000000" w:fill="CCE8CF"/>
            <w:noWrap w:val="0"/>
            <w:tcMar>
              <w:top w:w="15" w:type="dxa"/>
              <w:left w:w="15" w:type="dxa"/>
              <w:right w:w="15" w:type="dxa"/>
            </w:tcMar>
            <w:vAlign w:val="center"/>
          </w:tcPr>
          <w:p w14:paraId="57EBD24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万吨</w:t>
            </w:r>
          </w:p>
        </w:tc>
        <w:tc>
          <w:tcPr>
            <w:tcW w:w="1793" w:type="dxa"/>
            <w:tcBorders>
              <w:top w:val="nil"/>
              <w:left w:val="nil"/>
              <w:bottom w:val="single" w:color="auto" w:sz="4" w:space="0"/>
              <w:right w:val="single" w:color="auto" w:sz="4" w:space="0"/>
            </w:tcBorders>
            <w:shd w:val="clear" w:color="000000" w:fill="CCE8CF"/>
            <w:noWrap w:val="0"/>
            <w:tcMar>
              <w:top w:w="15" w:type="dxa"/>
              <w:left w:w="15" w:type="dxa"/>
              <w:right w:w="15" w:type="dxa"/>
            </w:tcMar>
            <w:vAlign w:val="bottom"/>
          </w:tcPr>
          <w:p w14:paraId="63E52D7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0.018</w:t>
            </w:r>
          </w:p>
        </w:tc>
        <w:tc>
          <w:tcPr>
            <w:tcW w:w="1578" w:type="dxa"/>
            <w:tcBorders>
              <w:top w:val="nil"/>
              <w:left w:val="nil"/>
              <w:bottom w:val="single" w:color="auto" w:sz="4" w:space="0"/>
              <w:right w:val="single" w:color="auto" w:sz="4" w:space="0"/>
            </w:tcBorders>
            <w:noWrap w:val="0"/>
            <w:tcMar>
              <w:top w:w="15" w:type="dxa"/>
              <w:left w:w="15" w:type="dxa"/>
              <w:right w:w="15" w:type="dxa"/>
            </w:tcMar>
            <w:vAlign w:val="bottom"/>
          </w:tcPr>
          <w:p w14:paraId="7CFCE05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0.016</w:t>
            </w:r>
          </w:p>
        </w:tc>
        <w:tc>
          <w:tcPr>
            <w:tcW w:w="1381" w:type="dxa"/>
            <w:tcBorders>
              <w:top w:val="nil"/>
              <w:left w:val="nil"/>
              <w:bottom w:val="single" w:color="auto" w:sz="4" w:space="0"/>
              <w:right w:val="single" w:color="auto" w:sz="4" w:space="0"/>
            </w:tcBorders>
            <w:noWrap w:val="0"/>
            <w:tcMar>
              <w:top w:w="15" w:type="dxa"/>
              <w:left w:w="15" w:type="dxa"/>
              <w:right w:w="15" w:type="dxa"/>
            </w:tcMar>
            <w:vAlign w:val="bottom"/>
          </w:tcPr>
          <w:p w14:paraId="1E8F99D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10.28</w:t>
            </w:r>
          </w:p>
        </w:tc>
      </w:tr>
      <w:tr w14:paraId="7031111B">
        <w:tblPrEx>
          <w:tblCellMar>
            <w:top w:w="0" w:type="dxa"/>
            <w:left w:w="0" w:type="dxa"/>
            <w:bottom w:w="0" w:type="dxa"/>
            <w:right w:w="0" w:type="dxa"/>
          </w:tblCellMar>
        </w:tblPrEx>
        <w:trPr>
          <w:trHeight w:val="362" w:hRule="atLeast"/>
        </w:trPr>
        <w:tc>
          <w:tcPr>
            <w:tcW w:w="2265" w:type="dxa"/>
            <w:tcBorders>
              <w:top w:val="nil"/>
              <w:left w:val="single" w:color="auto" w:sz="4" w:space="0"/>
              <w:bottom w:val="single" w:color="auto" w:sz="4" w:space="0"/>
              <w:right w:val="single" w:color="auto" w:sz="4" w:space="0"/>
            </w:tcBorders>
            <w:shd w:val="clear" w:color="000000" w:fill="CCE8CF"/>
            <w:noWrap w:val="0"/>
            <w:tcMar>
              <w:top w:w="15" w:type="dxa"/>
              <w:left w:w="15" w:type="dxa"/>
              <w:right w:w="15" w:type="dxa"/>
            </w:tcMar>
            <w:vAlign w:val="center"/>
          </w:tcPr>
          <w:p w14:paraId="3E0E24C2">
            <w:pPr>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牛肉</w:t>
            </w:r>
          </w:p>
        </w:tc>
        <w:tc>
          <w:tcPr>
            <w:tcW w:w="1106" w:type="dxa"/>
            <w:tcBorders>
              <w:top w:val="nil"/>
              <w:left w:val="nil"/>
              <w:bottom w:val="single" w:color="auto" w:sz="4" w:space="0"/>
              <w:right w:val="single" w:color="auto" w:sz="4" w:space="0"/>
            </w:tcBorders>
            <w:shd w:val="clear" w:color="000000" w:fill="CCE8CF"/>
            <w:noWrap w:val="0"/>
            <w:tcMar>
              <w:top w:w="15" w:type="dxa"/>
              <w:left w:w="15" w:type="dxa"/>
              <w:right w:w="15" w:type="dxa"/>
            </w:tcMar>
            <w:vAlign w:val="center"/>
          </w:tcPr>
          <w:p w14:paraId="5338B8E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万吨</w:t>
            </w:r>
          </w:p>
        </w:tc>
        <w:tc>
          <w:tcPr>
            <w:tcW w:w="1793" w:type="dxa"/>
            <w:tcBorders>
              <w:top w:val="nil"/>
              <w:left w:val="nil"/>
              <w:bottom w:val="single" w:color="auto" w:sz="4" w:space="0"/>
              <w:right w:val="single" w:color="auto" w:sz="4" w:space="0"/>
            </w:tcBorders>
            <w:shd w:val="clear" w:color="000000" w:fill="CCE8CF"/>
            <w:noWrap w:val="0"/>
            <w:tcMar>
              <w:top w:w="15" w:type="dxa"/>
              <w:left w:w="15" w:type="dxa"/>
              <w:right w:w="15" w:type="dxa"/>
            </w:tcMar>
            <w:vAlign w:val="bottom"/>
          </w:tcPr>
          <w:p w14:paraId="5D7429E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0.23</w:t>
            </w:r>
          </w:p>
        </w:tc>
        <w:tc>
          <w:tcPr>
            <w:tcW w:w="1578" w:type="dxa"/>
            <w:tcBorders>
              <w:top w:val="nil"/>
              <w:left w:val="nil"/>
              <w:bottom w:val="single" w:color="auto" w:sz="4" w:space="0"/>
              <w:right w:val="single" w:color="auto" w:sz="4" w:space="0"/>
            </w:tcBorders>
            <w:noWrap w:val="0"/>
            <w:tcMar>
              <w:top w:w="15" w:type="dxa"/>
              <w:left w:w="15" w:type="dxa"/>
              <w:right w:w="15" w:type="dxa"/>
            </w:tcMar>
            <w:vAlign w:val="bottom"/>
          </w:tcPr>
          <w:p w14:paraId="7003BAB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0.22</w:t>
            </w:r>
          </w:p>
        </w:tc>
        <w:tc>
          <w:tcPr>
            <w:tcW w:w="1381" w:type="dxa"/>
            <w:tcBorders>
              <w:top w:val="nil"/>
              <w:left w:val="nil"/>
              <w:bottom w:val="single" w:color="auto" w:sz="4" w:space="0"/>
              <w:right w:val="single" w:color="auto" w:sz="4" w:space="0"/>
            </w:tcBorders>
            <w:noWrap w:val="0"/>
            <w:tcMar>
              <w:top w:w="15" w:type="dxa"/>
              <w:left w:w="15" w:type="dxa"/>
              <w:right w:w="15" w:type="dxa"/>
            </w:tcMar>
            <w:vAlign w:val="bottom"/>
          </w:tcPr>
          <w:p w14:paraId="560F0DA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5.55</w:t>
            </w:r>
          </w:p>
        </w:tc>
      </w:tr>
      <w:tr w14:paraId="686BD227">
        <w:tblPrEx>
          <w:tblCellMar>
            <w:top w:w="0" w:type="dxa"/>
            <w:left w:w="0" w:type="dxa"/>
            <w:bottom w:w="0" w:type="dxa"/>
            <w:right w:w="0" w:type="dxa"/>
          </w:tblCellMar>
        </w:tblPrEx>
        <w:trPr>
          <w:trHeight w:val="273" w:hRule="atLeast"/>
        </w:trPr>
        <w:tc>
          <w:tcPr>
            <w:tcW w:w="2265" w:type="dxa"/>
            <w:tcBorders>
              <w:top w:val="nil"/>
              <w:left w:val="single" w:color="auto" w:sz="4" w:space="0"/>
              <w:bottom w:val="single" w:color="auto" w:sz="4" w:space="0"/>
              <w:right w:val="single" w:color="auto" w:sz="4" w:space="0"/>
            </w:tcBorders>
            <w:shd w:val="clear" w:color="000000" w:fill="CCE8CF"/>
            <w:noWrap w:val="0"/>
            <w:tcMar>
              <w:top w:w="15" w:type="dxa"/>
              <w:left w:w="15" w:type="dxa"/>
              <w:right w:w="15" w:type="dxa"/>
            </w:tcMar>
            <w:vAlign w:val="center"/>
          </w:tcPr>
          <w:p w14:paraId="5A42BF7F">
            <w:pPr>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羊肉</w:t>
            </w:r>
          </w:p>
        </w:tc>
        <w:tc>
          <w:tcPr>
            <w:tcW w:w="1106" w:type="dxa"/>
            <w:tcBorders>
              <w:top w:val="nil"/>
              <w:left w:val="nil"/>
              <w:bottom w:val="single" w:color="auto" w:sz="4" w:space="0"/>
              <w:right w:val="single" w:color="auto" w:sz="4" w:space="0"/>
            </w:tcBorders>
            <w:shd w:val="clear" w:color="000000" w:fill="CCE8CF"/>
            <w:noWrap w:val="0"/>
            <w:tcMar>
              <w:top w:w="15" w:type="dxa"/>
              <w:left w:w="15" w:type="dxa"/>
              <w:right w:w="15" w:type="dxa"/>
            </w:tcMar>
            <w:vAlign w:val="center"/>
          </w:tcPr>
          <w:p w14:paraId="10A4696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万吨</w:t>
            </w:r>
          </w:p>
        </w:tc>
        <w:tc>
          <w:tcPr>
            <w:tcW w:w="1793" w:type="dxa"/>
            <w:tcBorders>
              <w:top w:val="nil"/>
              <w:left w:val="nil"/>
              <w:bottom w:val="single" w:color="auto" w:sz="4" w:space="0"/>
              <w:right w:val="single" w:color="auto" w:sz="4" w:space="0"/>
            </w:tcBorders>
            <w:shd w:val="clear" w:color="000000" w:fill="CCE8CF"/>
            <w:noWrap w:val="0"/>
            <w:tcMar>
              <w:top w:w="15" w:type="dxa"/>
              <w:left w:w="15" w:type="dxa"/>
              <w:right w:w="15" w:type="dxa"/>
            </w:tcMar>
            <w:vAlign w:val="bottom"/>
          </w:tcPr>
          <w:p w14:paraId="5AD52CB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0.29</w:t>
            </w:r>
          </w:p>
        </w:tc>
        <w:tc>
          <w:tcPr>
            <w:tcW w:w="1578" w:type="dxa"/>
            <w:tcBorders>
              <w:top w:val="nil"/>
              <w:left w:val="nil"/>
              <w:bottom w:val="single" w:color="auto" w:sz="4" w:space="0"/>
              <w:right w:val="single" w:color="auto" w:sz="4" w:space="0"/>
            </w:tcBorders>
            <w:noWrap w:val="0"/>
            <w:tcMar>
              <w:top w:w="15" w:type="dxa"/>
              <w:left w:w="15" w:type="dxa"/>
              <w:right w:w="15" w:type="dxa"/>
            </w:tcMar>
            <w:vAlign w:val="bottom"/>
          </w:tcPr>
          <w:p w14:paraId="4D47759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0.23</w:t>
            </w:r>
          </w:p>
        </w:tc>
        <w:tc>
          <w:tcPr>
            <w:tcW w:w="1381" w:type="dxa"/>
            <w:tcBorders>
              <w:top w:val="nil"/>
              <w:left w:val="nil"/>
              <w:bottom w:val="single" w:color="auto" w:sz="4" w:space="0"/>
              <w:right w:val="single" w:color="auto" w:sz="4" w:space="0"/>
            </w:tcBorders>
            <w:noWrap w:val="0"/>
            <w:tcMar>
              <w:top w:w="15" w:type="dxa"/>
              <w:left w:w="15" w:type="dxa"/>
              <w:right w:w="15" w:type="dxa"/>
            </w:tcMar>
            <w:vAlign w:val="bottom"/>
          </w:tcPr>
          <w:p w14:paraId="6102CA3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25.4</w:t>
            </w:r>
          </w:p>
        </w:tc>
      </w:tr>
      <w:tr w14:paraId="40727122">
        <w:tblPrEx>
          <w:tblCellMar>
            <w:top w:w="0" w:type="dxa"/>
            <w:left w:w="0" w:type="dxa"/>
            <w:bottom w:w="0" w:type="dxa"/>
            <w:right w:w="0" w:type="dxa"/>
          </w:tblCellMar>
        </w:tblPrEx>
        <w:trPr>
          <w:trHeight w:val="342" w:hRule="atLeast"/>
        </w:trPr>
        <w:tc>
          <w:tcPr>
            <w:tcW w:w="2265" w:type="dxa"/>
            <w:tcBorders>
              <w:top w:val="nil"/>
              <w:left w:val="single" w:color="auto" w:sz="4" w:space="0"/>
              <w:bottom w:val="single" w:color="auto" w:sz="4" w:space="0"/>
              <w:right w:val="single" w:color="auto" w:sz="4" w:space="0"/>
            </w:tcBorders>
            <w:shd w:val="clear" w:color="000000" w:fill="CCE8CF"/>
            <w:noWrap w:val="0"/>
            <w:tcMar>
              <w:top w:w="15" w:type="dxa"/>
              <w:left w:w="15" w:type="dxa"/>
              <w:right w:w="15" w:type="dxa"/>
            </w:tcMar>
            <w:vAlign w:val="center"/>
          </w:tcPr>
          <w:p w14:paraId="36F0B8AC">
            <w:pPr>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禽肉</w:t>
            </w:r>
          </w:p>
        </w:tc>
        <w:tc>
          <w:tcPr>
            <w:tcW w:w="1106" w:type="dxa"/>
            <w:tcBorders>
              <w:top w:val="nil"/>
              <w:left w:val="nil"/>
              <w:bottom w:val="single" w:color="auto" w:sz="4" w:space="0"/>
              <w:right w:val="single" w:color="auto" w:sz="4" w:space="0"/>
            </w:tcBorders>
            <w:shd w:val="clear" w:color="000000" w:fill="CCE8CF"/>
            <w:noWrap w:val="0"/>
            <w:tcMar>
              <w:top w:w="15" w:type="dxa"/>
              <w:left w:w="15" w:type="dxa"/>
              <w:right w:w="15" w:type="dxa"/>
            </w:tcMar>
            <w:vAlign w:val="center"/>
          </w:tcPr>
          <w:p w14:paraId="7BDFE81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万吨</w:t>
            </w:r>
          </w:p>
        </w:tc>
        <w:tc>
          <w:tcPr>
            <w:tcW w:w="1793" w:type="dxa"/>
            <w:tcBorders>
              <w:top w:val="nil"/>
              <w:left w:val="nil"/>
              <w:bottom w:val="single" w:color="auto" w:sz="4" w:space="0"/>
              <w:right w:val="single" w:color="auto" w:sz="4" w:space="0"/>
            </w:tcBorders>
            <w:shd w:val="clear" w:color="000000" w:fill="CCE8CF"/>
            <w:noWrap w:val="0"/>
            <w:tcMar>
              <w:top w:w="15" w:type="dxa"/>
              <w:left w:w="15" w:type="dxa"/>
              <w:right w:w="15" w:type="dxa"/>
            </w:tcMar>
            <w:vAlign w:val="bottom"/>
          </w:tcPr>
          <w:p w14:paraId="44EA493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0.002</w:t>
            </w:r>
          </w:p>
        </w:tc>
        <w:tc>
          <w:tcPr>
            <w:tcW w:w="1578" w:type="dxa"/>
            <w:tcBorders>
              <w:top w:val="nil"/>
              <w:left w:val="nil"/>
              <w:bottom w:val="single" w:color="auto" w:sz="4" w:space="0"/>
              <w:right w:val="single" w:color="auto" w:sz="4" w:space="0"/>
            </w:tcBorders>
            <w:noWrap w:val="0"/>
            <w:tcMar>
              <w:top w:w="15" w:type="dxa"/>
              <w:left w:w="15" w:type="dxa"/>
              <w:right w:w="15" w:type="dxa"/>
            </w:tcMar>
            <w:vAlign w:val="bottom"/>
          </w:tcPr>
          <w:p w14:paraId="6C22677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0.001</w:t>
            </w:r>
          </w:p>
        </w:tc>
        <w:tc>
          <w:tcPr>
            <w:tcW w:w="1381" w:type="dxa"/>
            <w:tcBorders>
              <w:top w:val="nil"/>
              <w:left w:val="nil"/>
              <w:bottom w:val="single" w:color="auto" w:sz="4" w:space="0"/>
              <w:right w:val="single" w:color="auto" w:sz="4" w:space="0"/>
            </w:tcBorders>
            <w:noWrap w:val="0"/>
            <w:tcMar>
              <w:top w:w="15" w:type="dxa"/>
              <w:left w:w="15" w:type="dxa"/>
              <w:right w:w="15" w:type="dxa"/>
            </w:tcMar>
            <w:vAlign w:val="bottom"/>
          </w:tcPr>
          <w:p w14:paraId="1B5525D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81.31</w:t>
            </w:r>
          </w:p>
        </w:tc>
      </w:tr>
      <w:tr w14:paraId="5E06B08E">
        <w:tblPrEx>
          <w:tblCellMar>
            <w:top w:w="0" w:type="dxa"/>
            <w:left w:w="0" w:type="dxa"/>
            <w:bottom w:w="0" w:type="dxa"/>
            <w:right w:w="0" w:type="dxa"/>
          </w:tblCellMar>
        </w:tblPrEx>
        <w:trPr>
          <w:trHeight w:val="335" w:hRule="atLeast"/>
        </w:trPr>
        <w:tc>
          <w:tcPr>
            <w:tcW w:w="2265" w:type="dxa"/>
            <w:tcBorders>
              <w:top w:val="nil"/>
              <w:left w:val="single" w:color="auto" w:sz="4" w:space="0"/>
              <w:bottom w:val="single" w:color="auto" w:sz="4" w:space="0"/>
              <w:right w:val="single" w:color="auto" w:sz="4" w:space="0"/>
            </w:tcBorders>
            <w:shd w:val="clear" w:color="000000" w:fill="CCE8CF"/>
            <w:noWrap w:val="0"/>
            <w:tcMar>
              <w:top w:w="15" w:type="dxa"/>
              <w:left w:w="15" w:type="dxa"/>
              <w:right w:w="15" w:type="dxa"/>
            </w:tcMar>
            <w:vAlign w:val="center"/>
          </w:tcPr>
          <w:p w14:paraId="2F322A4E">
            <w:pPr>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禽蛋</w:t>
            </w:r>
          </w:p>
        </w:tc>
        <w:tc>
          <w:tcPr>
            <w:tcW w:w="1106" w:type="dxa"/>
            <w:tcBorders>
              <w:top w:val="nil"/>
              <w:left w:val="nil"/>
              <w:bottom w:val="single" w:color="auto" w:sz="4" w:space="0"/>
              <w:right w:val="single" w:color="auto" w:sz="4" w:space="0"/>
            </w:tcBorders>
            <w:shd w:val="clear" w:color="000000" w:fill="CCE8CF"/>
            <w:noWrap w:val="0"/>
            <w:tcMar>
              <w:top w:w="15" w:type="dxa"/>
              <w:left w:w="15" w:type="dxa"/>
              <w:right w:w="15" w:type="dxa"/>
            </w:tcMar>
            <w:vAlign w:val="center"/>
          </w:tcPr>
          <w:p w14:paraId="46AA639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万吨</w:t>
            </w:r>
          </w:p>
        </w:tc>
        <w:tc>
          <w:tcPr>
            <w:tcW w:w="1793" w:type="dxa"/>
            <w:tcBorders>
              <w:top w:val="nil"/>
              <w:left w:val="nil"/>
              <w:bottom w:val="single" w:color="auto" w:sz="4" w:space="0"/>
              <w:right w:val="single" w:color="auto" w:sz="4" w:space="0"/>
            </w:tcBorders>
            <w:shd w:val="clear" w:color="000000" w:fill="CCE8CF"/>
            <w:noWrap w:val="0"/>
            <w:tcMar>
              <w:top w:w="15" w:type="dxa"/>
              <w:left w:w="15" w:type="dxa"/>
              <w:right w:w="15" w:type="dxa"/>
            </w:tcMar>
            <w:vAlign w:val="bottom"/>
          </w:tcPr>
          <w:p w14:paraId="655C753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0.0015</w:t>
            </w:r>
          </w:p>
        </w:tc>
        <w:tc>
          <w:tcPr>
            <w:tcW w:w="1578" w:type="dxa"/>
            <w:tcBorders>
              <w:top w:val="nil"/>
              <w:left w:val="nil"/>
              <w:bottom w:val="single" w:color="auto" w:sz="4" w:space="0"/>
              <w:right w:val="single" w:color="auto" w:sz="4" w:space="0"/>
            </w:tcBorders>
            <w:noWrap w:val="0"/>
            <w:tcMar>
              <w:top w:w="15" w:type="dxa"/>
              <w:left w:w="15" w:type="dxa"/>
              <w:right w:w="15" w:type="dxa"/>
            </w:tcMar>
            <w:vAlign w:val="bottom"/>
          </w:tcPr>
          <w:p w14:paraId="31E9476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0.0013</w:t>
            </w:r>
          </w:p>
        </w:tc>
        <w:tc>
          <w:tcPr>
            <w:tcW w:w="1381" w:type="dxa"/>
            <w:tcBorders>
              <w:top w:val="nil"/>
              <w:left w:val="nil"/>
              <w:bottom w:val="single" w:color="auto" w:sz="4" w:space="0"/>
              <w:right w:val="single" w:color="auto" w:sz="4" w:space="0"/>
            </w:tcBorders>
            <w:noWrap w:val="0"/>
            <w:tcMar>
              <w:top w:w="15" w:type="dxa"/>
              <w:left w:w="15" w:type="dxa"/>
              <w:right w:w="15" w:type="dxa"/>
            </w:tcMar>
            <w:vAlign w:val="bottom"/>
          </w:tcPr>
          <w:p w14:paraId="5AF5833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15.38</w:t>
            </w:r>
          </w:p>
        </w:tc>
      </w:tr>
      <w:tr w14:paraId="240288EC">
        <w:tblPrEx>
          <w:tblCellMar>
            <w:top w:w="0" w:type="dxa"/>
            <w:left w:w="0" w:type="dxa"/>
            <w:bottom w:w="0" w:type="dxa"/>
            <w:right w:w="0" w:type="dxa"/>
          </w:tblCellMar>
        </w:tblPrEx>
        <w:trPr>
          <w:trHeight w:val="362" w:hRule="atLeast"/>
        </w:trPr>
        <w:tc>
          <w:tcPr>
            <w:tcW w:w="2265" w:type="dxa"/>
            <w:tcBorders>
              <w:top w:val="nil"/>
              <w:left w:val="single" w:color="auto" w:sz="4" w:space="0"/>
              <w:bottom w:val="single" w:color="auto" w:sz="4" w:space="0"/>
              <w:right w:val="single" w:color="auto" w:sz="4" w:space="0"/>
            </w:tcBorders>
            <w:shd w:val="clear" w:color="000000" w:fill="CCE8CF"/>
            <w:noWrap w:val="0"/>
            <w:tcMar>
              <w:top w:w="15" w:type="dxa"/>
              <w:left w:w="15" w:type="dxa"/>
              <w:right w:w="15" w:type="dxa"/>
            </w:tcMar>
            <w:vAlign w:val="center"/>
          </w:tcPr>
          <w:p w14:paraId="3D865BE1">
            <w:pPr>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生牛奶</w:t>
            </w:r>
          </w:p>
        </w:tc>
        <w:tc>
          <w:tcPr>
            <w:tcW w:w="1106" w:type="dxa"/>
            <w:tcBorders>
              <w:top w:val="nil"/>
              <w:left w:val="nil"/>
              <w:bottom w:val="single" w:color="auto" w:sz="4" w:space="0"/>
              <w:right w:val="single" w:color="auto" w:sz="4" w:space="0"/>
            </w:tcBorders>
            <w:shd w:val="clear" w:color="000000" w:fill="CCE8CF"/>
            <w:noWrap w:val="0"/>
            <w:tcMar>
              <w:top w:w="15" w:type="dxa"/>
              <w:left w:w="15" w:type="dxa"/>
              <w:right w:w="15" w:type="dxa"/>
            </w:tcMar>
            <w:vAlign w:val="center"/>
          </w:tcPr>
          <w:p w14:paraId="5F6B243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万吨</w:t>
            </w:r>
          </w:p>
        </w:tc>
        <w:tc>
          <w:tcPr>
            <w:tcW w:w="1793" w:type="dxa"/>
            <w:tcBorders>
              <w:top w:val="nil"/>
              <w:left w:val="nil"/>
              <w:bottom w:val="single" w:color="auto" w:sz="4" w:space="0"/>
              <w:right w:val="single" w:color="auto" w:sz="4" w:space="0"/>
            </w:tcBorders>
            <w:shd w:val="clear" w:color="000000" w:fill="CCE8CF"/>
            <w:noWrap w:val="0"/>
            <w:tcMar>
              <w:top w:w="15" w:type="dxa"/>
              <w:left w:w="15" w:type="dxa"/>
              <w:right w:w="15" w:type="dxa"/>
            </w:tcMar>
            <w:vAlign w:val="bottom"/>
          </w:tcPr>
          <w:p w14:paraId="2407D97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0.1707</w:t>
            </w:r>
          </w:p>
        </w:tc>
        <w:tc>
          <w:tcPr>
            <w:tcW w:w="1578" w:type="dxa"/>
            <w:tcBorders>
              <w:top w:val="nil"/>
              <w:left w:val="nil"/>
              <w:bottom w:val="single" w:color="auto" w:sz="4" w:space="0"/>
              <w:right w:val="single" w:color="auto" w:sz="4" w:space="0"/>
            </w:tcBorders>
            <w:noWrap w:val="0"/>
            <w:tcMar>
              <w:top w:w="15" w:type="dxa"/>
              <w:left w:w="15" w:type="dxa"/>
              <w:right w:w="15" w:type="dxa"/>
            </w:tcMar>
            <w:vAlign w:val="bottom"/>
          </w:tcPr>
          <w:p w14:paraId="0721221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0.288</w:t>
            </w:r>
          </w:p>
        </w:tc>
        <w:tc>
          <w:tcPr>
            <w:tcW w:w="1381" w:type="dxa"/>
            <w:tcBorders>
              <w:top w:val="nil"/>
              <w:left w:val="nil"/>
              <w:bottom w:val="single" w:color="auto" w:sz="4" w:space="0"/>
              <w:right w:val="single" w:color="auto" w:sz="4" w:space="0"/>
            </w:tcBorders>
            <w:noWrap w:val="0"/>
            <w:tcMar>
              <w:top w:w="15" w:type="dxa"/>
              <w:left w:w="15" w:type="dxa"/>
              <w:right w:w="15" w:type="dxa"/>
            </w:tcMar>
            <w:vAlign w:val="bottom"/>
          </w:tcPr>
          <w:p w14:paraId="6DDE5D4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-40.72</w:t>
            </w:r>
          </w:p>
        </w:tc>
      </w:tr>
    </w:tbl>
    <w:p w14:paraId="3ECDF79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eastAsia="zh-CN"/>
        </w:rPr>
        <w:t>（二）</w:t>
      </w:r>
      <w:r>
        <w:rPr>
          <w:rFonts w:hint="eastAsia" w:ascii="楷体_GB2312" w:hAnsi="楷体_GB2312" w:eastAsia="楷体_GB2312" w:cs="楷体_GB2312"/>
          <w:b/>
          <w:bCs/>
          <w:color w:val="auto"/>
          <w:sz w:val="32"/>
          <w:szCs w:val="32"/>
          <w:lang w:val="en-US" w:eastAsia="zh-CN"/>
        </w:rPr>
        <w:t>工业经济降幅较大。</w:t>
      </w:r>
      <w:r>
        <w:rPr>
          <w:rFonts w:hint="eastAsia" w:ascii="仿宋_GB2312" w:hAnsi="仿宋_GB2312" w:eastAsia="仿宋_GB2312" w:cs="仿宋_GB2312"/>
          <w:color w:val="auto"/>
          <w:sz w:val="32"/>
          <w:szCs w:val="32"/>
          <w:lang w:val="en-US" w:eastAsia="zh-CN"/>
        </w:rPr>
        <w:t>1-9月，</w:t>
      </w:r>
      <w:r>
        <w:rPr>
          <w:rFonts w:hint="eastAsia" w:ascii="仿宋_GB2312" w:hAnsi="仿宋_GB2312" w:eastAsia="仿宋_GB2312" w:cs="仿宋_GB2312"/>
          <w:color w:val="auto"/>
          <w:sz w:val="32"/>
          <w:szCs w:val="32"/>
          <w:lang w:eastAsia="zh-CN"/>
        </w:rPr>
        <w:t>全县</w:t>
      </w:r>
      <w:r>
        <w:rPr>
          <w:rFonts w:hint="eastAsia" w:ascii="仿宋_GB2312" w:hAnsi="仿宋_GB2312" w:eastAsia="仿宋_GB2312" w:cs="仿宋_GB2312"/>
          <w:color w:val="auto"/>
          <w:sz w:val="32"/>
          <w:szCs w:val="32"/>
          <w:lang w:val="en-US" w:eastAsia="zh-CN"/>
        </w:rPr>
        <w:t>实现</w:t>
      </w:r>
      <w:r>
        <w:rPr>
          <w:rFonts w:hint="eastAsia" w:ascii="仿宋_GB2312" w:hAnsi="仿宋_GB2312" w:eastAsia="仿宋_GB2312" w:cs="仿宋_GB2312"/>
          <w:color w:val="auto"/>
          <w:sz w:val="32"/>
          <w:szCs w:val="32"/>
          <w:lang w:eastAsia="zh-CN"/>
        </w:rPr>
        <w:t>工业增加值</w:t>
      </w:r>
      <w:r>
        <w:rPr>
          <w:rFonts w:hint="eastAsia" w:ascii="仿宋_GB2312" w:hAnsi="仿宋_GB2312" w:eastAsia="仿宋_GB2312" w:cs="仿宋_GB2312"/>
          <w:color w:val="auto"/>
          <w:sz w:val="32"/>
          <w:szCs w:val="32"/>
          <w:lang w:val="en-US" w:eastAsia="zh-CN"/>
        </w:rPr>
        <w:t>20.1亿元，同比下降10.4%。其中：</w:t>
      </w:r>
      <w:r>
        <w:rPr>
          <w:rFonts w:hint="eastAsia" w:ascii="仿宋_GB2312" w:hAnsi="仿宋_GB2312" w:eastAsia="仿宋_GB2312" w:cs="仿宋_GB2312"/>
          <w:sz w:val="32"/>
          <w:szCs w:val="32"/>
        </w:rPr>
        <w:t>规模以上工业完成增加值12.88亿元，同比下降</w:t>
      </w:r>
      <w:r>
        <w:rPr>
          <w:rFonts w:hint="eastAsia" w:ascii="仿宋_GB2312" w:hAnsi="仿宋_GB2312" w:eastAsia="仿宋_GB2312" w:cs="仿宋_GB2312"/>
          <w:sz w:val="32"/>
          <w:szCs w:val="32"/>
          <w:lang w:val="en-US" w:eastAsia="zh-CN"/>
        </w:rPr>
        <w:t>8.4</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w:t>
      </w:r>
    </w:p>
    <w:p w14:paraId="02D72CD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1.采矿业呈下降趋势。</w:t>
      </w:r>
      <w:r>
        <w:rPr>
          <w:rFonts w:hint="eastAsia" w:ascii="仿宋_GB2312" w:hAnsi="仿宋_GB2312" w:eastAsia="仿宋_GB2312" w:cs="仿宋_GB2312"/>
          <w:sz w:val="32"/>
          <w:szCs w:val="32"/>
        </w:rPr>
        <w:t>采矿业以煤炭开采、盐湖采盐为主，增加值占规上工业比重48.6%，累计增加值6.26亿元，同比下降</w:t>
      </w:r>
      <w:r>
        <w:rPr>
          <w:rFonts w:hint="eastAsia" w:ascii="仿宋_GB2312" w:hAnsi="仿宋_GB2312" w:eastAsia="仿宋_GB2312" w:cs="仿宋_GB2312"/>
          <w:sz w:val="32"/>
          <w:szCs w:val="32"/>
          <w:lang w:val="en-US" w:eastAsia="zh-CN"/>
        </w:rPr>
        <w:t>8.1</w:t>
      </w:r>
      <w:r>
        <w:rPr>
          <w:rFonts w:hint="eastAsia" w:ascii="仿宋_GB2312" w:hAnsi="仿宋_GB2312" w:eastAsia="仿宋_GB2312" w:cs="仿宋_GB2312"/>
          <w:sz w:val="32"/>
          <w:szCs w:val="32"/>
        </w:rPr>
        <w:t>%，下拉全县增速11.2个百分点。其中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color w:val="auto"/>
          <w:sz w:val="32"/>
          <w:szCs w:val="32"/>
          <w:lang w:val="en-US" w:eastAsia="zh-CN"/>
        </w:rPr>
        <w:t>煤炭开采和洗选业</w:t>
      </w:r>
      <w:r>
        <w:rPr>
          <w:rFonts w:hint="eastAsia" w:ascii="仿宋_GB2312" w:hAnsi="仿宋_GB2312" w:eastAsia="仿宋_GB2312" w:cs="仿宋_GB2312"/>
          <w:color w:val="auto"/>
          <w:sz w:val="32"/>
          <w:szCs w:val="32"/>
          <w:lang w:val="en-US" w:eastAsia="zh-CN"/>
        </w:rPr>
        <w:t>增加值4.54亿元，同比增长2.24个百分点；</w:t>
      </w:r>
      <w:r>
        <w:rPr>
          <w:rFonts w:hint="eastAsia" w:ascii="仿宋_GB2312" w:hAnsi="仿宋_GB2312" w:eastAsia="仿宋_GB2312" w:cs="仿宋_GB2312"/>
          <w:color w:val="auto"/>
          <w:sz w:val="32"/>
          <w:szCs w:val="32"/>
          <w:highlight w:val="none"/>
          <w:lang w:val="en-US" w:eastAsia="zh-CN"/>
        </w:rPr>
        <w:t>非金属</w:t>
      </w:r>
      <w:r>
        <w:rPr>
          <w:rFonts w:hint="eastAsia" w:ascii="仿宋_GB2312" w:hAnsi="仿宋_GB2312" w:eastAsia="仿宋_GB2312" w:cs="仿宋_GB2312"/>
          <w:color w:val="auto"/>
          <w:sz w:val="32"/>
          <w:szCs w:val="32"/>
          <w:lang w:val="en-US" w:eastAsia="zh-CN"/>
        </w:rPr>
        <w:t>矿采选业增加值1.71亿元，同比下降30.28%。</w:t>
      </w:r>
    </w:p>
    <w:p w14:paraId="6B564F2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煤炭开采和洗选业增长的企业有</w:t>
      </w:r>
      <w:r>
        <w:rPr>
          <w:rFonts w:hint="eastAsia" w:ascii="仿宋_GB2312" w:hAnsi="仿宋_GB2312" w:eastAsia="仿宋_GB2312" w:cs="仿宋_GB2312"/>
          <w:b w:val="0"/>
          <w:bCs w:val="0"/>
          <w:color w:val="auto"/>
          <w:sz w:val="32"/>
          <w:szCs w:val="32"/>
          <w:lang w:val="en-US" w:eastAsia="zh-CN"/>
        </w:rPr>
        <w:t>：沙吉</w:t>
      </w:r>
      <w:r>
        <w:rPr>
          <w:rFonts w:hint="eastAsia" w:ascii="仿宋_GB2312" w:hAnsi="仿宋_GB2312" w:eastAsia="仿宋_GB2312" w:cs="仿宋_GB2312"/>
          <w:color w:val="auto"/>
          <w:sz w:val="32"/>
          <w:szCs w:val="32"/>
          <w:lang w:val="en-US" w:eastAsia="zh-CN"/>
        </w:rPr>
        <w:t>海煤业有限公司增加值增长39.49%，国网能源和丰煤电有限公司煤炭增加值增长11.93%</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bCs/>
          <w:color w:val="auto"/>
          <w:sz w:val="32"/>
          <w:szCs w:val="32"/>
          <w:lang w:val="en-US" w:eastAsia="zh-CN"/>
        </w:rPr>
        <w:t>产值下降的企业有</w:t>
      </w:r>
      <w:r>
        <w:rPr>
          <w:rFonts w:hint="eastAsia" w:ascii="仿宋_GB2312" w:hAnsi="仿宋_GB2312" w:eastAsia="仿宋_GB2312" w:cs="仿宋_GB2312"/>
          <w:b w:val="0"/>
          <w:bCs w:val="0"/>
          <w:color w:val="auto"/>
          <w:sz w:val="32"/>
          <w:szCs w:val="32"/>
          <w:lang w:val="en-US" w:eastAsia="zh-CN"/>
        </w:rPr>
        <w:t>：新疆赛尔能源矿业有限公司煤炭增加值同比下降32.25%,下降原因：今年因更换采掘面，导致煤质较差，煤炭单价大幅下降；8月31日停业整顿至10月13日。非金属矿采选企业增加值呈现下降态势：因订单减少、开工较晚、运</w:t>
      </w:r>
      <w:r>
        <w:rPr>
          <w:rFonts w:hint="eastAsia" w:ascii="仿宋_GB2312" w:hAnsi="仿宋_GB2312" w:eastAsia="仿宋_GB2312" w:cs="仿宋_GB2312"/>
          <w:color w:val="auto"/>
          <w:sz w:val="32"/>
          <w:szCs w:val="32"/>
          <w:lang w:val="en-US" w:eastAsia="zh-CN"/>
        </w:rPr>
        <w:t>费剥离</w:t>
      </w:r>
      <w:r>
        <w:rPr>
          <w:rFonts w:hint="eastAsia" w:ascii="仿宋_GB2312" w:hAnsi="仿宋_GB2312" w:eastAsia="仿宋_GB2312" w:cs="仿宋_GB2312"/>
          <w:color w:val="auto"/>
          <w:sz w:val="32"/>
          <w:szCs w:val="32"/>
          <w:highlight w:val="none"/>
          <w:lang w:val="en-US" w:eastAsia="zh-CN"/>
        </w:rPr>
        <w:t>、设备故障</w:t>
      </w:r>
      <w:r>
        <w:rPr>
          <w:rFonts w:hint="eastAsia" w:ascii="仿宋_GB2312" w:hAnsi="仿宋_GB2312" w:eastAsia="仿宋_GB2312" w:cs="仿宋_GB2312"/>
          <w:color w:val="auto"/>
          <w:sz w:val="32"/>
          <w:szCs w:val="32"/>
          <w:lang w:val="en-US" w:eastAsia="zh-CN"/>
        </w:rPr>
        <w:t>等原因，旭辉工贸有限公司、拓森能源有限公司、西海能源科技有限公司、宏达盐业有限责任公司分别下降18.71%、85.41%、55.44%、31.22%，拉低了采矿业的增速。</w:t>
      </w:r>
    </w:p>
    <w:p w14:paraId="5176034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2.制造业小幅增长。</w:t>
      </w:r>
      <w:r>
        <w:rPr>
          <w:rFonts w:hint="eastAsia" w:ascii="仿宋_GB2312" w:hAnsi="仿宋_GB2312" w:eastAsia="仿宋_GB2312" w:cs="仿宋_GB2312"/>
          <w:color w:val="auto"/>
          <w:sz w:val="32"/>
          <w:szCs w:val="32"/>
          <w:lang w:val="en-US" w:eastAsia="zh-CN"/>
        </w:rPr>
        <w:t>制造业增加值</w:t>
      </w:r>
      <w:r>
        <w:rPr>
          <w:rFonts w:hint="eastAsia" w:ascii="仿宋_GB2312" w:hAnsi="仿宋_GB2312" w:eastAsia="仿宋_GB2312" w:cs="仿宋_GB2312"/>
          <w:color w:val="auto"/>
          <w:sz w:val="32"/>
          <w:szCs w:val="32"/>
          <w:highlight w:val="none"/>
          <w:lang w:val="en-US" w:eastAsia="zh-CN"/>
        </w:rPr>
        <w:t>1.38</w:t>
      </w:r>
      <w:r>
        <w:rPr>
          <w:rFonts w:hint="eastAsia" w:ascii="仿宋_GB2312" w:hAnsi="仿宋_GB2312" w:eastAsia="仿宋_GB2312" w:cs="仿宋_GB2312"/>
          <w:color w:val="auto"/>
          <w:sz w:val="32"/>
          <w:szCs w:val="32"/>
          <w:lang w:val="en-US" w:eastAsia="zh-CN"/>
        </w:rPr>
        <w:t>亿元，同比增长37%，其中：化学原料和化学制品制造业增加值571.28万元，同比增长212.52%，主要是新雅泰化工有限公司在3月底实现了生产，同时增加了新产品生产线，带动该行业实现了稳步的增长。非金属矿物制品业增加值</w:t>
      </w:r>
      <w:r>
        <w:rPr>
          <w:rFonts w:hint="eastAsia" w:ascii="仿宋_GB2312" w:hAnsi="仿宋_GB2312" w:eastAsia="仿宋_GB2312" w:cs="仿宋_GB2312"/>
          <w:color w:val="auto"/>
          <w:sz w:val="32"/>
          <w:szCs w:val="32"/>
          <w:highlight w:val="none"/>
          <w:lang w:val="en-US" w:eastAsia="zh-CN"/>
        </w:rPr>
        <w:t>1.29亿元，同比增长29.66%，增长的主要原因是新增了全鑫商砼有限公司增加值1087.71万元；全荣有限公司增加值较上年同期增加1.13亿元，拉动了该</w:t>
      </w:r>
      <w:r>
        <w:rPr>
          <w:rFonts w:hint="eastAsia" w:ascii="仿宋_GB2312" w:hAnsi="仿宋_GB2312" w:eastAsia="仿宋_GB2312" w:cs="仿宋_GB2312"/>
          <w:color w:val="auto"/>
          <w:sz w:val="32"/>
          <w:szCs w:val="32"/>
          <w:lang w:val="en-US" w:eastAsia="zh-CN"/>
        </w:rPr>
        <w:t>行业产值的增长。金科众邦新能源有限公司、鑫龙源筑友混凝土有限公司增加值分别下降了84.44%、12.48%，但由于增加值占比较小，对行业增长影响不明显。</w:t>
      </w:r>
    </w:p>
    <w:p w14:paraId="71D9ED3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3.电力、热力生产和供应业降幅较大。</w:t>
      </w:r>
      <w:r>
        <w:rPr>
          <w:rFonts w:hint="eastAsia" w:ascii="仿宋_GB2312" w:hAnsi="仿宋_GB2312" w:eastAsia="仿宋_GB2312" w:cs="仿宋_GB2312"/>
          <w:color w:val="auto"/>
          <w:sz w:val="32"/>
          <w:szCs w:val="32"/>
          <w:lang w:val="en-US" w:eastAsia="zh-CN"/>
        </w:rPr>
        <w:t>电力、热力生产和供应业实现增加值5.24亿元，同比下降16.5%。五家光伏发电的企业仅有华电和布克赛尔新能源有限公司增加值增长了28.5%，增长的主要原因是该公司的上级公司有电网固定配额，今年对偏远地区的下属公司增加了配额，同时售电单价相对较高，促进了增长。其他四家企业光伏因全疆新能源装机容量增加，电网限电等原因，增加值全部大幅下降，国网能源和丰煤电有限公司、海天达光伏、美恒光伏、华光新能源有限公司、华源热力有限公司分别下降了25.4%、34.85%、48.38%、36.59%、8.47%。</w:t>
      </w:r>
    </w:p>
    <w:p w14:paraId="1E7DCBE9">
      <w:pPr>
        <w:pStyle w:val="5"/>
        <w:pageBreakBefore w:val="0"/>
        <w:kinsoku/>
        <w:wordWrap/>
        <w:overflowPunct/>
        <w:topLinePunct w:val="0"/>
        <w:autoSpaceDE/>
        <w:autoSpaceDN/>
        <w:bidi w:val="0"/>
        <w:adjustRightInd/>
        <w:snapToGrid/>
        <w:spacing w:line="560" w:lineRule="exact"/>
        <w:ind w:firstLine="1506" w:firstLineChars="500"/>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0"/>
          <w:szCs w:val="30"/>
          <w:lang w:val="en-US" w:eastAsia="zh-CN"/>
        </w:rPr>
        <w:t>1-9月</w:t>
      </w:r>
      <w:r>
        <w:rPr>
          <w:rFonts w:hint="eastAsia" w:ascii="仿宋_GB2312" w:hAnsi="仿宋_GB2312" w:eastAsia="仿宋_GB2312" w:cs="仿宋_GB2312"/>
          <w:b/>
          <w:bCs/>
          <w:color w:val="auto"/>
          <w:sz w:val="30"/>
          <w:szCs w:val="30"/>
        </w:rPr>
        <w:t>规上工业三大门类增速及所占比重情况</w:t>
      </w:r>
    </w:p>
    <w:tbl>
      <w:tblPr>
        <w:tblStyle w:val="7"/>
        <w:tblW w:w="8193" w:type="dxa"/>
        <w:tblInd w:w="0" w:type="dxa"/>
        <w:tblLayout w:type="fixed"/>
        <w:tblCellMar>
          <w:top w:w="0" w:type="dxa"/>
          <w:left w:w="0" w:type="dxa"/>
          <w:bottom w:w="0" w:type="dxa"/>
          <w:right w:w="0" w:type="dxa"/>
        </w:tblCellMar>
      </w:tblPr>
      <w:tblGrid>
        <w:gridCol w:w="2404"/>
        <w:gridCol w:w="1326"/>
        <w:gridCol w:w="1051"/>
        <w:gridCol w:w="1039"/>
        <w:gridCol w:w="1119"/>
        <w:gridCol w:w="1254"/>
      </w:tblGrid>
      <w:tr w14:paraId="110143EA">
        <w:tblPrEx>
          <w:tblCellMar>
            <w:top w:w="0" w:type="dxa"/>
            <w:left w:w="0" w:type="dxa"/>
            <w:bottom w:w="0" w:type="dxa"/>
            <w:right w:w="0" w:type="dxa"/>
          </w:tblCellMar>
        </w:tblPrEx>
        <w:trPr>
          <w:trHeight w:val="624" w:hRule="atLeast"/>
        </w:trPr>
        <w:tc>
          <w:tcPr>
            <w:tcW w:w="240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12BF833">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kern w:val="0"/>
                <w:sz w:val="21"/>
                <w:szCs w:val="21"/>
              </w:rPr>
              <w:t>指标名称</w:t>
            </w:r>
          </w:p>
        </w:tc>
        <w:tc>
          <w:tcPr>
            <w:tcW w:w="1326"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14:paraId="52070487">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kern w:val="0"/>
                <w:sz w:val="21"/>
                <w:szCs w:val="21"/>
              </w:rPr>
              <w:t>增加值(亿元)</w:t>
            </w:r>
          </w:p>
        </w:tc>
        <w:tc>
          <w:tcPr>
            <w:tcW w:w="1051"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14:paraId="55F41043">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kern w:val="0"/>
                <w:sz w:val="21"/>
                <w:szCs w:val="21"/>
                <w:lang w:eastAsia="zh-CN"/>
              </w:rPr>
              <w:t>比重</w:t>
            </w:r>
            <w:r>
              <w:rPr>
                <w:rFonts w:hint="eastAsia" w:ascii="仿宋_GB2312" w:hAnsi="仿宋_GB2312" w:eastAsia="仿宋_GB2312" w:cs="仿宋_GB2312"/>
                <w:b/>
                <w:bCs/>
                <w:color w:val="auto"/>
                <w:kern w:val="0"/>
                <w:sz w:val="21"/>
                <w:szCs w:val="21"/>
              </w:rPr>
              <w:t>%</w:t>
            </w:r>
          </w:p>
        </w:tc>
        <w:tc>
          <w:tcPr>
            <w:tcW w:w="10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14:paraId="600287BB">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kern w:val="0"/>
                <w:sz w:val="21"/>
                <w:szCs w:val="21"/>
              </w:rPr>
              <w:t>增速%</w:t>
            </w:r>
          </w:p>
        </w:tc>
        <w:tc>
          <w:tcPr>
            <w:tcW w:w="111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14:paraId="31F45729">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kern w:val="0"/>
                <w:sz w:val="21"/>
                <w:szCs w:val="21"/>
              </w:rPr>
              <w:t>贡献率%</w:t>
            </w:r>
          </w:p>
        </w:tc>
        <w:tc>
          <w:tcPr>
            <w:tcW w:w="1254"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14:paraId="57F6A4DB">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拉动力%</w:t>
            </w:r>
          </w:p>
        </w:tc>
      </w:tr>
      <w:tr w14:paraId="4A06CD2E">
        <w:tblPrEx>
          <w:tblCellMar>
            <w:top w:w="0" w:type="dxa"/>
            <w:left w:w="0" w:type="dxa"/>
            <w:bottom w:w="0" w:type="dxa"/>
            <w:right w:w="0" w:type="dxa"/>
          </w:tblCellMar>
        </w:tblPrEx>
        <w:trPr>
          <w:trHeight w:val="497" w:hRule="atLeast"/>
        </w:trPr>
        <w:tc>
          <w:tcPr>
            <w:tcW w:w="2404"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7C31271F">
            <w:pPr>
              <w:pageBreakBefore w:val="0"/>
              <w:widowControl/>
              <w:kinsoku/>
              <w:wordWrap/>
              <w:overflowPunct/>
              <w:topLinePunct w:val="0"/>
              <w:autoSpaceDE/>
              <w:autoSpaceDN/>
              <w:bidi w:val="0"/>
              <w:adjustRightInd/>
              <w:snapToGrid/>
              <w:spacing w:line="560" w:lineRule="exact"/>
              <w:ind w:firstLine="210" w:firstLineChars="10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规上工业增加值</w:t>
            </w:r>
          </w:p>
        </w:tc>
        <w:tc>
          <w:tcPr>
            <w:tcW w:w="1326" w:type="dxa"/>
            <w:tcBorders>
              <w:top w:val="nil"/>
              <w:left w:val="nil"/>
              <w:bottom w:val="single" w:color="auto" w:sz="4" w:space="0"/>
              <w:right w:val="single" w:color="auto" w:sz="4" w:space="0"/>
            </w:tcBorders>
            <w:noWrap/>
            <w:tcMar>
              <w:top w:w="15" w:type="dxa"/>
              <w:left w:w="15" w:type="dxa"/>
              <w:right w:w="15" w:type="dxa"/>
            </w:tcMar>
            <w:vAlign w:val="center"/>
          </w:tcPr>
          <w:p w14:paraId="024F3E26">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12.88</w:t>
            </w:r>
          </w:p>
        </w:tc>
        <w:tc>
          <w:tcPr>
            <w:tcW w:w="1051" w:type="dxa"/>
            <w:tcBorders>
              <w:top w:val="nil"/>
              <w:left w:val="nil"/>
              <w:bottom w:val="single" w:color="auto" w:sz="4" w:space="0"/>
              <w:right w:val="single" w:color="auto" w:sz="4" w:space="0"/>
            </w:tcBorders>
            <w:noWrap/>
            <w:tcMar>
              <w:top w:w="15" w:type="dxa"/>
              <w:left w:w="15" w:type="dxa"/>
              <w:right w:w="15" w:type="dxa"/>
            </w:tcMar>
            <w:vAlign w:val="center"/>
          </w:tcPr>
          <w:p w14:paraId="3CEDBDF1">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100</w:t>
            </w:r>
          </w:p>
        </w:tc>
        <w:tc>
          <w:tcPr>
            <w:tcW w:w="1039" w:type="dxa"/>
            <w:tcBorders>
              <w:top w:val="nil"/>
              <w:left w:val="nil"/>
              <w:bottom w:val="single" w:color="auto" w:sz="4" w:space="0"/>
              <w:right w:val="single" w:color="auto" w:sz="4" w:space="0"/>
            </w:tcBorders>
            <w:noWrap/>
            <w:tcMar>
              <w:top w:w="15" w:type="dxa"/>
              <w:left w:w="15" w:type="dxa"/>
              <w:right w:w="15" w:type="dxa"/>
            </w:tcMar>
            <w:vAlign w:val="center"/>
          </w:tcPr>
          <w:p w14:paraId="1E7A3B4A">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-8.4</w:t>
            </w:r>
          </w:p>
        </w:tc>
        <w:tc>
          <w:tcPr>
            <w:tcW w:w="1119" w:type="dxa"/>
            <w:tcBorders>
              <w:top w:val="nil"/>
              <w:left w:val="nil"/>
              <w:bottom w:val="single" w:color="auto" w:sz="4" w:space="0"/>
              <w:right w:val="single" w:color="auto" w:sz="4" w:space="0"/>
            </w:tcBorders>
            <w:noWrap/>
            <w:tcMar>
              <w:top w:w="15" w:type="dxa"/>
              <w:left w:w="15" w:type="dxa"/>
              <w:right w:w="15" w:type="dxa"/>
            </w:tcMar>
            <w:vAlign w:val="center"/>
          </w:tcPr>
          <w:p w14:paraId="00DF5741">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100</w:t>
            </w:r>
          </w:p>
        </w:tc>
        <w:tc>
          <w:tcPr>
            <w:tcW w:w="1254" w:type="dxa"/>
            <w:tcBorders>
              <w:top w:val="nil"/>
              <w:left w:val="nil"/>
              <w:bottom w:val="single" w:color="auto" w:sz="4" w:space="0"/>
              <w:right w:val="single" w:color="auto" w:sz="4" w:space="0"/>
            </w:tcBorders>
            <w:noWrap/>
            <w:tcMar>
              <w:top w:w="15" w:type="dxa"/>
              <w:left w:w="15" w:type="dxa"/>
              <w:right w:w="15" w:type="dxa"/>
            </w:tcMar>
            <w:vAlign w:val="center"/>
          </w:tcPr>
          <w:p w14:paraId="4693163E">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100</w:t>
            </w:r>
          </w:p>
        </w:tc>
      </w:tr>
      <w:tr w14:paraId="3200D516">
        <w:tblPrEx>
          <w:tblCellMar>
            <w:top w:w="0" w:type="dxa"/>
            <w:left w:w="0" w:type="dxa"/>
            <w:bottom w:w="0" w:type="dxa"/>
            <w:right w:w="0" w:type="dxa"/>
          </w:tblCellMar>
        </w:tblPrEx>
        <w:trPr>
          <w:trHeight w:val="545" w:hRule="atLeast"/>
        </w:trPr>
        <w:tc>
          <w:tcPr>
            <w:tcW w:w="2404"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39204C32">
            <w:pPr>
              <w:pageBreakBefore w:val="0"/>
              <w:widowControl/>
              <w:kinsoku/>
              <w:wordWrap/>
              <w:overflowPunct/>
              <w:topLinePunct w:val="0"/>
              <w:autoSpaceDE/>
              <w:autoSpaceDN/>
              <w:bidi w:val="0"/>
              <w:adjustRightInd/>
              <w:snapToGrid/>
              <w:spacing w:line="560" w:lineRule="exact"/>
              <w:ind w:firstLine="210" w:firstLineChars="10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其中：采矿业</w:t>
            </w:r>
          </w:p>
        </w:tc>
        <w:tc>
          <w:tcPr>
            <w:tcW w:w="1326" w:type="dxa"/>
            <w:tcBorders>
              <w:top w:val="nil"/>
              <w:left w:val="nil"/>
              <w:bottom w:val="single" w:color="auto" w:sz="4" w:space="0"/>
              <w:right w:val="single" w:color="auto" w:sz="4" w:space="0"/>
            </w:tcBorders>
            <w:noWrap/>
            <w:tcMar>
              <w:top w:w="15" w:type="dxa"/>
              <w:left w:w="15" w:type="dxa"/>
              <w:right w:w="15" w:type="dxa"/>
            </w:tcMar>
            <w:vAlign w:val="center"/>
          </w:tcPr>
          <w:p w14:paraId="7DC8DE64">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6.26</w:t>
            </w:r>
          </w:p>
        </w:tc>
        <w:tc>
          <w:tcPr>
            <w:tcW w:w="1051" w:type="dxa"/>
            <w:tcBorders>
              <w:top w:val="nil"/>
              <w:left w:val="nil"/>
              <w:bottom w:val="single" w:color="auto" w:sz="4" w:space="0"/>
              <w:right w:val="single" w:color="auto" w:sz="4" w:space="0"/>
            </w:tcBorders>
            <w:noWrap/>
            <w:tcMar>
              <w:top w:w="15" w:type="dxa"/>
              <w:left w:w="15" w:type="dxa"/>
              <w:right w:w="15" w:type="dxa"/>
            </w:tcMar>
            <w:vAlign w:val="center"/>
          </w:tcPr>
          <w:p w14:paraId="139F9686">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48.6</w:t>
            </w:r>
          </w:p>
        </w:tc>
        <w:tc>
          <w:tcPr>
            <w:tcW w:w="1039" w:type="dxa"/>
            <w:tcBorders>
              <w:top w:val="nil"/>
              <w:left w:val="nil"/>
              <w:bottom w:val="single" w:color="auto" w:sz="4" w:space="0"/>
              <w:right w:val="single" w:color="auto" w:sz="4" w:space="0"/>
            </w:tcBorders>
            <w:noWrap/>
            <w:tcMar>
              <w:top w:w="15" w:type="dxa"/>
              <w:left w:w="15" w:type="dxa"/>
              <w:right w:w="15" w:type="dxa"/>
            </w:tcMar>
            <w:vAlign w:val="center"/>
          </w:tcPr>
          <w:p w14:paraId="2DEB2078">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-8.1</w:t>
            </w:r>
          </w:p>
        </w:tc>
        <w:tc>
          <w:tcPr>
            <w:tcW w:w="1119" w:type="dxa"/>
            <w:tcBorders>
              <w:top w:val="nil"/>
              <w:left w:val="nil"/>
              <w:bottom w:val="single" w:color="auto" w:sz="4" w:space="0"/>
              <w:right w:val="single" w:color="auto" w:sz="4" w:space="0"/>
            </w:tcBorders>
            <w:noWrap/>
            <w:tcMar>
              <w:top w:w="15" w:type="dxa"/>
              <w:left w:w="15" w:type="dxa"/>
              <w:right w:w="15" w:type="dxa"/>
            </w:tcMar>
            <w:vAlign w:val="center"/>
          </w:tcPr>
          <w:p w14:paraId="46A5306F">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51.19</w:t>
            </w:r>
          </w:p>
        </w:tc>
        <w:tc>
          <w:tcPr>
            <w:tcW w:w="1254" w:type="dxa"/>
            <w:tcBorders>
              <w:top w:val="nil"/>
              <w:left w:val="nil"/>
              <w:bottom w:val="single" w:color="auto" w:sz="4" w:space="0"/>
              <w:right w:val="single" w:color="auto" w:sz="4" w:space="0"/>
            </w:tcBorders>
            <w:noWrap/>
            <w:tcMar>
              <w:top w:w="15" w:type="dxa"/>
              <w:left w:w="15" w:type="dxa"/>
              <w:right w:w="15" w:type="dxa"/>
            </w:tcMar>
            <w:vAlign w:val="center"/>
          </w:tcPr>
          <w:p w14:paraId="12A8405F">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-4.3</w:t>
            </w:r>
          </w:p>
        </w:tc>
      </w:tr>
      <w:tr w14:paraId="3BE883C4">
        <w:tblPrEx>
          <w:tblCellMar>
            <w:top w:w="0" w:type="dxa"/>
            <w:left w:w="0" w:type="dxa"/>
            <w:bottom w:w="0" w:type="dxa"/>
            <w:right w:w="0" w:type="dxa"/>
          </w:tblCellMar>
        </w:tblPrEx>
        <w:trPr>
          <w:trHeight w:val="499" w:hRule="atLeast"/>
        </w:trPr>
        <w:tc>
          <w:tcPr>
            <w:tcW w:w="2404"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23AB8B59">
            <w:pPr>
              <w:pageBreakBefore w:val="0"/>
              <w:widowControl/>
              <w:kinsoku/>
              <w:wordWrap/>
              <w:overflowPunct/>
              <w:topLinePunct w:val="0"/>
              <w:autoSpaceDE/>
              <w:autoSpaceDN/>
              <w:bidi w:val="0"/>
              <w:adjustRightInd/>
              <w:snapToGrid/>
              <w:spacing w:line="560" w:lineRule="exact"/>
              <w:ind w:firstLine="840" w:firstLineChars="40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制造业</w:t>
            </w:r>
          </w:p>
        </w:tc>
        <w:tc>
          <w:tcPr>
            <w:tcW w:w="1326" w:type="dxa"/>
            <w:tcBorders>
              <w:top w:val="nil"/>
              <w:left w:val="nil"/>
              <w:bottom w:val="single" w:color="auto" w:sz="4" w:space="0"/>
              <w:right w:val="single" w:color="auto" w:sz="4" w:space="0"/>
            </w:tcBorders>
            <w:noWrap/>
            <w:tcMar>
              <w:top w:w="15" w:type="dxa"/>
              <w:left w:w="15" w:type="dxa"/>
              <w:right w:w="15" w:type="dxa"/>
            </w:tcMar>
            <w:vAlign w:val="center"/>
          </w:tcPr>
          <w:p w14:paraId="0E16BBC8">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1.38</w:t>
            </w:r>
          </w:p>
        </w:tc>
        <w:tc>
          <w:tcPr>
            <w:tcW w:w="1051" w:type="dxa"/>
            <w:tcBorders>
              <w:top w:val="nil"/>
              <w:left w:val="nil"/>
              <w:bottom w:val="single" w:color="auto" w:sz="4" w:space="0"/>
              <w:right w:val="single" w:color="auto" w:sz="4" w:space="0"/>
            </w:tcBorders>
            <w:noWrap/>
            <w:tcMar>
              <w:top w:w="15" w:type="dxa"/>
              <w:left w:w="15" w:type="dxa"/>
              <w:right w:w="15" w:type="dxa"/>
            </w:tcMar>
            <w:vAlign w:val="center"/>
          </w:tcPr>
          <w:p w14:paraId="12D64B24">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10.7</w:t>
            </w:r>
          </w:p>
        </w:tc>
        <w:tc>
          <w:tcPr>
            <w:tcW w:w="1039" w:type="dxa"/>
            <w:tcBorders>
              <w:top w:val="nil"/>
              <w:left w:val="nil"/>
              <w:bottom w:val="single" w:color="auto" w:sz="4" w:space="0"/>
              <w:right w:val="single" w:color="auto" w:sz="4" w:space="0"/>
            </w:tcBorders>
            <w:noWrap/>
            <w:tcMar>
              <w:top w:w="15" w:type="dxa"/>
              <w:left w:w="15" w:type="dxa"/>
              <w:right w:w="15" w:type="dxa"/>
            </w:tcMar>
            <w:vAlign w:val="center"/>
          </w:tcPr>
          <w:p w14:paraId="5C799E4A">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37</w:t>
            </w:r>
          </w:p>
        </w:tc>
        <w:tc>
          <w:tcPr>
            <w:tcW w:w="1119" w:type="dxa"/>
            <w:tcBorders>
              <w:top w:val="nil"/>
              <w:left w:val="nil"/>
              <w:bottom w:val="single" w:color="auto" w:sz="4" w:space="0"/>
              <w:right w:val="single" w:color="auto" w:sz="4" w:space="0"/>
            </w:tcBorders>
            <w:noWrap/>
            <w:tcMar>
              <w:top w:w="15" w:type="dxa"/>
              <w:left w:w="15" w:type="dxa"/>
              <w:right w:w="15" w:type="dxa"/>
            </w:tcMar>
            <w:vAlign w:val="center"/>
          </w:tcPr>
          <w:p w14:paraId="391B35A5">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-29.9</w:t>
            </w:r>
          </w:p>
        </w:tc>
        <w:tc>
          <w:tcPr>
            <w:tcW w:w="1254" w:type="dxa"/>
            <w:tcBorders>
              <w:top w:val="nil"/>
              <w:left w:val="nil"/>
              <w:bottom w:val="single" w:color="auto" w:sz="4" w:space="0"/>
              <w:right w:val="single" w:color="auto" w:sz="4" w:space="0"/>
            </w:tcBorders>
            <w:noWrap/>
            <w:tcMar>
              <w:top w:w="15" w:type="dxa"/>
              <w:left w:w="15" w:type="dxa"/>
              <w:right w:w="15" w:type="dxa"/>
            </w:tcMar>
            <w:vAlign w:val="center"/>
          </w:tcPr>
          <w:p w14:paraId="23B1F6E3">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2.51</w:t>
            </w:r>
          </w:p>
        </w:tc>
      </w:tr>
      <w:tr w14:paraId="6BBE4A86">
        <w:tblPrEx>
          <w:tblCellMar>
            <w:top w:w="0" w:type="dxa"/>
            <w:left w:w="0" w:type="dxa"/>
            <w:bottom w:w="0" w:type="dxa"/>
            <w:right w:w="0" w:type="dxa"/>
          </w:tblCellMar>
        </w:tblPrEx>
        <w:trPr>
          <w:trHeight w:val="579" w:hRule="atLeast"/>
        </w:trPr>
        <w:tc>
          <w:tcPr>
            <w:tcW w:w="2404"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2A33FF7C">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电力、热力生产和供应业</w:t>
            </w:r>
          </w:p>
        </w:tc>
        <w:tc>
          <w:tcPr>
            <w:tcW w:w="1326" w:type="dxa"/>
            <w:tcBorders>
              <w:top w:val="nil"/>
              <w:left w:val="nil"/>
              <w:bottom w:val="single" w:color="auto" w:sz="4" w:space="0"/>
              <w:right w:val="single" w:color="auto" w:sz="4" w:space="0"/>
            </w:tcBorders>
            <w:noWrap/>
            <w:tcMar>
              <w:top w:w="15" w:type="dxa"/>
              <w:left w:w="15" w:type="dxa"/>
              <w:right w:w="15" w:type="dxa"/>
            </w:tcMar>
            <w:vAlign w:val="center"/>
          </w:tcPr>
          <w:p w14:paraId="44C9FEB7">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5.24</w:t>
            </w:r>
          </w:p>
        </w:tc>
        <w:tc>
          <w:tcPr>
            <w:tcW w:w="1051" w:type="dxa"/>
            <w:tcBorders>
              <w:top w:val="nil"/>
              <w:left w:val="nil"/>
              <w:bottom w:val="single" w:color="auto" w:sz="4" w:space="0"/>
              <w:right w:val="single" w:color="auto" w:sz="4" w:space="0"/>
            </w:tcBorders>
            <w:noWrap/>
            <w:tcMar>
              <w:top w:w="15" w:type="dxa"/>
              <w:left w:w="15" w:type="dxa"/>
              <w:right w:w="15" w:type="dxa"/>
            </w:tcMar>
            <w:vAlign w:val="center"/>
          </w:tcPr>
          <w:p w14:paraId="53B7E97F">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40.7</w:t>
            </w:r>
          </w:p>
        </w:tc>
        <w:tc>
          <w:tcPr>
            <w:tcW w:w="1039" w:type="dxa"/>
            <w:tcBorders>
              <w:top w:val="nil"/>
              <w:left w:val="nil"/>
              <w:bottom w:val="single" w:color="auto" w:sz="4" w:space="0"/>
              <w:right w:val="single" w:color="auto" w:sz="4" w:space="0"/>
            </w:tcBorders>
            <w:noWrap/>
            <w:tcMar>
              <w:top w:w="15" w:type="dxa"/>
              <w:left w:w="15" w:type="dxa"/>
              <w:right w:w="15" w:type="dxa"/>
            </w:tcMar>
            <w:vAlign w:val="center"/>
          </w:tcPr>
          <w:p w14:paraId="7521075E">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-16.5</w:t>
            </w:r>
          </w:p>
        </w:tc>
        <w:tc>
          <w:tcPr>
            <w:tcW w:w="1119" w:type="dxa"/>
            <w:tcBorders>
              <w:top w:val="nil"/>
              <w:left w:val="nil"/>
              <w:bottom w:val="single" w:color="auto" w:sz="4" w:space="0"/>
              <w:right w:val="single" w:color="auto" w:sz="4" w:space="0"/>
            </w:tcBorders>
            <w:noWrap/>
            <w:tcMar>
              <w:top w:w="15" w:type="dxa"/>
              <w:left w:w="15" w:type="dxa"/>
              <w:right w:w="15" w:type="dxa"/>
            </w:tcMar>
            <w:vAlign w:val="center"/>
          </w:tcPr>
          <w:p w14:paraId="26D138F4">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78.71</w:t>
            </w:r>
          </w:p>
        </w:tc>
        <w:tc>
          <w:tcPr>
            <w:tcW w:w="1254" w:type="dxa"/>
            <w:tcBorders>
              <w:top w:val="nil"/>
              <w:left w:val="nil"/>
              <w:bottom w:val="single" w:color="auto" w:sz="4" w:space="0"/>
              <w:right w:val="single" w:color="auto" w:sz="4" w:space="0"/>
            </w:tcBorders>
            <w:noWrap/>
            <w:tcMar>
              <w:top w:w="15" w:type="dxa"/>
              <w:left w:w="15" w:type="dxa"/>
              <w:right w:w="15" w:type="dxa"/>
            </w:tcMar>
            <w:vAlign w:val="center"/>
          </w:tcPr>
          <w:p w14:paraId="5213CF4C">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-6.61</w:t>
            </w:r>
          </w:p>
        </w:tc>
      </w:tr>
    </w:tbl>
    <w:p w14:paraId="34A969DA">
      <w:pPr>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color w:val="auto"/>
          <w:kern w:val="0"/>
          <w:sz w:val="21"/>
          <w:szCs w:val="21"/>
          <w:lang w:eastAsia="zh-CN"/>
        </w:rPr>
      </w:pPr>
      <w:r>
        <w:rPr>
          <w:rFonts w:hint="eastAsia" w:ascii="仿宋_GB2312" w:hAnsi="仿宋_GB2312" w:eastAsia="仿宋_GB2312" w:cs="仿宋_GB2312"/>
          <w:b/>
          <w:bCs/>
          <w:color w:val="auto"/>
          <w:kern w:val="0"/>
          <w:sz w:val="21"/>
          <w:szCs w:val="21"/>
          <w:lang w:eastAsia="zh-CN"/>
        </w:rPr>
        <w:t>说明：增加值占比是三大门类占规上工业增加值比重；拉动力是三大门类增量对规上工业的拉动点</w:t>
      </w:r>
    </w:p>
    <w:p w14:paraId="7E5FF3A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highlight w:val="none"/>
          <w:lang w:val="en-US" w:eastAsia="zh-CN"/>
        </w:rPr>
        <w:t>4.主要工业产品产量三增三降。</w:t>
      </w:r>
      <w:r>
        <w:rPr>
          <w:rFonts w:hint="eastAsia" w:ascii="仿宋_GB2312" w:hAnsi="仿宋_GB2312" w:eastAsia="仿宋_GB2312" w:cs="仿宋_GB2312"/>
          <w:b w:val="0"/>
          <w:bCs w:val="0"/>
          <w:color w:val="auto"/>
          <w:sz w:val="32"/>
          <w:szCs w:val="32"/>
          <w:lang w:val="en-US" w:eastAsia="zh-CN"/>
        </w:rPr>
        <w:t>因受电网调控影响，发电量降幅较大，1-9月发电量29.84亿千瓦时，同比下降21.49%，其中：火力发电量17.32亿千瓦时，同比下降19.63%，太阳能发电量12.52亿千瓦时，同比下降23.94%；原煤产量436.89万吨，增长4.38%；原盐190.78万吨，同比增长11.17%；</w:t>
      </w:r>
      <w:r>
        <w:rPr>
          <w:rFonts w:hint="eastAsia" w:ascii="仿宋_GB2312" w:hAnsi="仿宋_GB2312" w:eastAsia="仿宋_GB2312" w:cs="仿宋_GB2312"/>
          <w:b w:val="0"/>
          <w:bCs w:val="0"/>
          <w:color w:val="auto"/>
          <w:sz w:val="32"/>
          <w:szCs w:val="32"/>
          <w:highlight w:val="none"/>
          <w:lang w:val="en-US" w:eastAsia="zh-CN"/>
        </w:rPr>
        <w:t>钾肥3990.72吨，同比下降47.74%；</w:t>
      </w:r>
      <w:r>
        <w:rPr>
          <w:rFonts w:hint="eastAsia" w:ascii="仿宋_GB2312" w:hAnsi="仿宋_GB2312" w:eastAsia="仿宋_GB2312" w:cs="仿宋_GB2312"/>
          <w:b w:val="0"/>
          <w:bCs w:val="0"/>
          <w:color w:val="auto"/>
          <w:sz w:val="32"/>
          <w:szCs w:val="32"/>
          <w:lang w:val="en-US" w:eastAsia="zh-CN"/>
        </w:rPr>
        <w:t>水泥87.3万吨，同比增长33.77%。</w:t>
      </w:r>
    </w:p>
    <w:p w14:paraId="02938FD2">
      <w:pPr>
        <w:pageBreakBefore w:val="0"/>
        <w:kinsoku/>
        <w:wordWrap/>
        <w:overflowPunct/>
        <w:topLinePunct w:val="0"/>
        <w:autoSpaceDE/>
        <w:autoSpaceDN/>
        <w:bidi w:val="0"/>
        <w:adjustRightInd/>
        <w:snapToGrid/>
        <w:spacing w:line="560" w:lineRule="exact"/>
        <w:ind w:firstLine="2108" w:firstLineChars="700"/>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lang w:val="en-US" w:eastAsia="zh-CN"/>
        </w:rPr>
        <w:t>1-9月</w:t>
      </w:r>
      <w:r>
        <w:rPr>
          <w:rFonts w:hint="eastAsia" w:ascii="仿宋_GB2312" w:hAnsi="仿宋_GB2312" w:eastAsia="仿宋_GB2312" w:cs="仿宋_GB2312"/>
          <w:b/>
          <w:bCs/>
          <w:color w:val="auto"/>
          <w:sz w:val="30"/>
          <w:szCs w:val="30"/>
        </w:rPr>
        <w:t>全县规上工业企业产品产量表</w:t>
      </w:r>
    </w:p>
    <w:tbl>
      <w:tblPr>
        <w:tblStyle w:val="7"/>
        <w:tblW w:w="8595" w:type="dxa"/>
        <w:tblInd w:w="0" w:type="dxa"/>
        <w:tblLayout w:type="fixed"/>
        <w:tblCellMar>
          <w:top w:w="0" w:type="dxa"/>
          <w:left w:w="0" w:type="dxa"/>
          <w:bottom w:w="0" w:type="dxa"/>
          <w:right w:w="0" w:type="dxa"/>
        </w:tblCellMar>
      </w:tblPr>
      <w:tblGrid>
        <w:gridCol w:w="1867"/>
        <w:gridCol w:w="1305"/>
        <w:gridCol w:w="1590"/>
        <w:gridCol w:w="1553"/>
        <w:gridCol w:w="1140"/>
        <w:gridCol w:w="1140"/>
      </w:tblGrid>
      <w:tr w14:paraId="7B9F8C9F">
        <w:tblPrEx>
          <w:tblCellMar>
            <w:top w:w="0" w:type="dxa"/>
            <w:left w:w="0" w:type="dxa"/>
            <w:bottom w:w="0" w:type="dxa"/>
            <w:right w:w="0" w:type="dxa"/>
          </w:tblCellMar>
        </w:tblPrEx>
        <w:trPr>
          <w:trHeight w:val="721" w:hRule="atLeast"/>
        </w:trPr>
        <w:tc>
          <w:tcPr>
            <w:tcW w:w="18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50D5748">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kern w:val="0"/>
                <w:sz w:val="21"/>
                <w:szCs w:val="21"/>
              </w:rPr>
              <w:t>产品名称</w:t>
            </w:r>
          </w:p>
        </w:tc>
        <w:tc>
          <w:tcPr>
            <w:tcW w:w="130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35F94D1">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kern w:val="0"/>
                <w:sz w:val="21"/>
                <w:szCs w:val="21"/>
              </w:rPr>
              <w:t>计量单位</w:t>
            </w:r>
          </w:p>
        </w:tc>
        <w:tc>
          <w:tcPr>
            <w:tcW w:w="159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14:paraId="7EB364F2">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kern w:val="0"/>
                <w:sz w:val="21"/>
                <w:szCs w:val="21"/>
              </w:rPr>
              <w:t>2</w:t>
            </w:r>
            <w:r>
              <w:rPr>
                <w:rStyle w:val="10"/>
                <w:rFonts w:hint="eastAsia" w:ascii="仿宋_GB2312" w:hAnsi="仿宋_GB2312" w:eastAsia="仿宋_GB2312" w:cs="仿宋_GB2312"/>
                <w:b/>
                <w:bCs/>
                <w:color w:val="auto"/>
                <w:sz w:val="21"/>
                <w:szCs w:val="21"/>
              </w:rPr>
              <w:t>02</w:t>
            </w:r>
            <w:r>
              <w:rPr>
                <w:rStyle w:val="10"/>
                <w:rFonts w:hint="eastAsia" w:ascii="仿宋_GB2312" w:hAnsi="仿宋_GB2312" w:eastAsia="仿宋_GB2312" w:cs="仿宋_GB2312"/>
                <w:b/>
                <w:bCs/>
                <w:color w:val="auto"/>
                <w:sz w:val="21"/>
                <w:szCs w:val="21"/>
                <w:lang w:val="en-US" w:eastAsia="zh-CN"/>
              </w:rPr>
              <w:t>5</w:t>
            </w:r>
            <w:r>
              <w:rPr>
                <w:rStyle w:val="10"/>
                <w:rFonts w:hint="eastAsia" w:ascii="仿宋_GB2312" w:hAnsi="仿宋_GB2312" w:eastAsia="仿宋_GB2312" w:cs="仿宋_GB2312"/>
                <w:b/>
                <w:bCs/>
                <w:color w:val="auto"/>
                <w:sz w:val="21"/>
                <w:szCs w:val="21"/>
              </w:rPr>
              <w:t>年</w:t>
            </w:r>
            <w:r>
              <w:rPr>
                <w:rStyle w:val="10"/>
                <w:rFonts w:hint="eastAsia" w:ascii="仿宋_GB2312" w:hAnsi="仿宋_GB2312" w:eastAsia="仿宋_GB2312" w:cs="仿宋_GB2312"/>
                <w:b/>
                <w:bCs/>
                <w:color w:val="auto"/>
                <w:sz w:val="21"/>
                <w:szCs w:val="21"/>
                <w:lang w:val="en-US" w:eastAsia="zh-CN"/>
              </w:rPr>
              <w:t>1-9月</w:t>
            </w:r>
          </w:p>
        </w:tc>
        <w:tc>
          <w:tcPr>
            <w:tcW w:w="1553"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14:paraId="2CD59EB7">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kern w:val="0"/>
                <w:sz w:val="21"/>
                <w:szCs w:val="21"/>
              </w:rPr>
              <w:t>2</w:t>
            </w:r>
            <w:r>
              <w:rPr>
                <w:rStyle w:val="10"/>
                <w:rFonts w:hint="eastAsia" w:ascii="仿宋_GB2312" w:hAnsi="仿宋_GB2312" w:eastAsia="仿宋_GB2312" w:cs="仿宋_GB2312"/>
                <w:b/>
                <w:bCs/>
                <w:color w:val="auto"/>
                <w:sz w:val="21"/>
                <w:szCs w:val="21"/>
              </w:rPr>
              <w:t>02</w:t>
            </w:r>
            <w:r>
              <w:rPr>
                <w:rStyle w:val="10"/>
                <w:rFonts w:hint="eastAsia" w:ascii="仿宋_GB2312" w:hAnsi="仿宋_GB2312" w:eastAsia="仿宋_GB2312" w:cs="仿宋_GB2312"/>
                <w:b/>
                <w:bCs/>
                <w:color w:val="auto"/>
                <w:sz w:val="21"/>
                <w:szCs w:val="21"/>
                <w:lang w:val="en-US" w:eastAsia="zh-CN"/>
              </w:rPr>
              <w:t>4</w:t>
            </w:r>
            <w:r>
              <w:rPr>
                <w:rStyle w:val="10"/>
                <w:rFonts w:hint="eastAsia" w:ascii="仿宋_GB2312" w:hAnsi="仿宋_GB2312" w:eastAsia="仿宋_GB2312" w:cs="仿宋_GB2312"/>
                <w:b/>
                <w:bCs/>
                <w:color w:val="auto"/>
                <w:sz w:val="21"/>
                <w:szCs w:val="21"/>
              </w:rPr>
              <w:t>年</w:t>
            </w:r>
            <w:r>
              <w:rPr>
                <w:rStyle w:val="10"/>
                <w:rFonts w:hint="eastAsia" w:ascii="仿宋_GB2312" w:hAnsi="仿宋_GB2312" w:eastAsia="仿宋_GB2312" w:cs="仿宋_GB2312"/>
                <w:b/>
                <w:bCs/>
                <w:color w:val="auto"/>
                <w:sz w:val="21"/>
                <w:szCs w:val="21"/>
                <w:lang w:val="en-US" w:eastAsia="zh-CN"/>
              </w:rPr>
              <w:t>1-9月</w:t>
            </w:r>
          </w:p>
        </w:tc>
        <w:tc>
          <w:tcPr>
            <w:tcW w:w="114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14:paraId="15B47A09">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kern w:val="0"/>
                <w:sz w:val="21"/>
                <w:szCs w:val="21"/>
              </w:rPr>
              <w:t>增减量</w:t>
            </w:r>
          </w:p>
        </w:tc>
        <w:tc>
          <w:tcPr>
            <w:tcW w:w="114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14:paraId="2402B8D6">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kern w:val="0"/>
                <w:sz w:val="21"/>
                <w:szCs w:val="21"/>
              </w:rPr>
              <w:t>增速%</w:t>
            </w:r>
          </w:p>
        </w:tc>
      </w:tr>
      <w:tr w14:paraId="31CBAD51">
        <w:tblPrEx>
          <w:tblCellMar>
            <w:top w:w="0" w:type="dxa"/>
            <w:left w:w="0" w:type="dxa"/>
            <w:bottom w:w="0" w:type="dxa"/>
            <w:right w:w="0" w:type="dxa"/>
          </w:tblCellMar>
        </w:tblPrEx>
        <w:trPr>
          <w:trHeight w:val="454" w:hRule="exact"/>
        </w:trPr>
        <w:tc>
          <w:tcPr>
            <w:tcW w:w="1867"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1A5EDA37">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发电量</w:t>
            </w:r>
          </w:p>
        </w:tc>
        <w:tc>
          <w:tcPr>
            <w:tcW w:w="1305"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5750E69B">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亿千瓦时</w:t>
            </w:r>
          </w:p>
        </w:tc>
        <w:tc>
          <w:tcPr>
            <w:tcW w:w="1590" w:type="dxa"/>
            <w:tcBorders>
              <w:top w:val="nil"/>
              <w:left w:val="nil"/>
              <w:bottom w:val="single" w:color="auto" w:sz="4" w:space="0"/>
              <w:right w:val="single" w:color="auto" w:sz="4" w:space="0"/>
            </w:tcBorders>
            <w:noWrap/>
            <w:tcMar>
              <w:top w:w="15" w:type="dxa"/>
              <w:left w:w="15" w:type="dxa"/>
              <w:right w:w="15" w:type="dxa"/>
            </w:tcMar>
            <w:vAlign w:val="center"/>
          </w:tcPr>
          <w:p w14:paraId="2F539F7C">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29.84</w:t>
            </w:r>
          </w:p>
        </w:tc>
        <w:tc>
          <w:tcPr>
            <w:tcW w:w="1553" w:type="dxa"/>
            <w:tcBorders>
              <w:top w:val="nil"/>
              <w:left w:val="nil"/>
              <w:bottom w:val="single" w:color="auto" w:sz="4" w:space="0"/>
              <w:right w:val="single" w:color="auto" w:sz="4" w:space="0"/>
            </w:tcBorders>
            <w:noWrap/>
            <w:tcMar>
              <w:top w:w="15" w:type="dxa"/>
              <w:left w:w="15" w:type="dxa"/>
              <w:right w:w="15" w:type="dxa"/>
            </w:tcMar>
            <w:vAlign w:val="center"/>
          </w:tcPr>
          <w:p w14:paraId="61E8C7DC">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38.01</w:t>
            </w:r>
          </w:p>
        </w:tc>
        <w:tc>
          <w:tcPr>
            <w:tcW w:w="1140" w:type="dxa"/>
            <w:tcBorders>
              <w:top w:val="nil"/>
              <w:left w:val="nil"/>
              <w:bottom w:val="single" w:color="auto" w:sz="4" w:space="0"/>
              <w:right w:val="single" w:color="auto" w:sz="4" w:space="0"/>
            </w:tcBorders>
            <w:noWrap/>
            <w:tcMar>
              <w:top w:w="15" w:type="dxa"/>
              <w:left w:w="15" w:type="dxa"/>
              <w:right w:w="15" w:type="dxa"/>
            </w:tcMar>
            <w:vAlign w:val="center"/>
          </w:tcPr>
          <w:p w14:paraId="75F2D6D6">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-8.17</w:t>
            </w:r>
          </w:p>
        </w:tc>
        <w:tc>
          <w:tcPr>
            <w:tcW w:w="1140" w:type="dxa"/>
            <w:tcBorders>
              <w:top w:val="nil"/>
              <w:left w:val="nil"/>
              <w:bottom w:val="single" w:color="auto" w:sz="4" w:space="0"/>
              <w:right w:val="single" w:color="auto" w:sz="4" w:space="0"/>
            </w:tcBorders>
            <w:noWrap/>
            <w:tcMar>
              <w:top w:w="15" w:type="dxa"/>
              <w:left w:w="15" w:type="dxa"/>
              <w:right w:w="15" w:type="dxa"/>
            </w:tcMar>
            <w:vAlign w:val="center"/>
          </w:tcPr>
          <w:p w14:paraId="63C07BA5">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-21.49</w:t>
            </w:r>
          </w:p>
        </w:tc>
      </w:tr>
      <w:tr w14:paraId="70460862">
        <w:tblPrEx>
          <w:tblCellMar>
            <w:top w:w="0" w:type="dxa"/>
            <w:left w:w="0" w:type="dxa"/>
            <w:bottom w:w="0" w:type="dxa"/>
            <w:right w:w="0" w:type="dxa"/>
          </w:tblCellMar>
        </w:tblPrEx>
        <w:trPr>
          <w:trHeight w:val="470" w:hRule="exact"/>
        </w:trPr>
        <w:tc>
          <w:tcPr>
            <w:tcW w:w="1867"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0929B96B">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eastAsia="zh-CN"/>
              </w:rPr>
              <w:t>其中：</w:t>
            </w:r>
            <w:r>
              <w:rPr>
                <w:rFonts w:hint="eastAsia" w:ascii="仿宋_GB2312" w:hAnsi="仿宋_GB2312" w:eastAsia="仿宋_GB2312" w:cs="仿宋_GB2312"/>
                <w:color w:val="auto"/>
                <w:kern w:val="0"/>
                <w:sz w:val="21"/>
                <w:szCs w:val="21"/>
              </w:rPr>
              <w:t>火力发电</w:t>
            </w:r>
          </w:p>
        </w:tc>
        <w:tc>
          <w:tcPr>
            <w:tcW w:w="1305"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14:paraId="6086AC4F">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亿千瓦时</w:t>
            </w:r>
          </w:p>
        </w:tc>
        <w:tc>
          <w:tcPr>
            <w:tcW w:w="1590" w:type="dxa"/>
            <w:tcBorders>
              <w:top w:val="nil"/>
              <w:left w:val="nil"/>
              <w:bottom w:val="single" w:color="auto" w:sz="4" w:space="0"/>
              <w:right w:val="single" w:color="auto" w:sz="4" w:space="0"/>
            </w:tcBorders>
            <w:noWrap/>
            <w:tcMar>
              <w:top w:w="15" w:type="dxa"/>
              <w:left w:w="15" w:type="dxa"/>
              <w:right w:w="15" w:type="dxa"/>
            </w:tcMar>
            <w:vAlign w:val="center"/>
          </w:tcPr>
          <w:p w14:paraId="2A66A212">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17.32</w:t>
            </w:r>
          </w:p>
        </w:tc>
        <w:tc>
          <w:tcPr>
            <w:tcW w:w="1553" w:type="dxa"/>
            <w:tcBorders>
              <w:top w:val="nil"/>
              <w:left w:val="nil"/>
              <w:bottom w:val="single" w:color="auto" w:sz="4" w:space="0"/>
              <w:right w:val="single" w:color="auto" w:sz="4" w:space="0"/>
            </w:tcBorders>
            <w:noWrap/>
            <w:tcMar>
              <w:top w:w="15" w:type="dxa"/>
              <w:left w:w="15" w:type="dxa"/>
              <w:right w:w="15" w:type="dxa"/>
            </w:tcMar>
            <w:vAlign w:val="center"/>
          </w:tcPr>
          <w:p w14:paraId="24DED7D3">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21.55</w:t>
            </w:r>
          </w:p>
        </w:tc>
        <w:tc>
          <w:tcPr>
            <w:tcW w:w="1140" w:type="dxa"/>
            <w:tcBorders>
              <w:top w:val="nil"/>
              <w:left w:val="nil"/>
              <w:bottom w:val="single" w:color="auto" w:sz="4" w:space="0"/>
              <w:right w:val="single" w:color="auto" w:sz="4" w:space="0"/>
            </w:tcBorders>
            <w:noWrap/>
            <w:tcMar>
              <w:top w:w="15" w:type="dxa"/>
              <w:left w:w="15" w:type="dxa"/>
              <w:right w:w="15" w:type="dxa"/>
            </w:tcMar>
            <w:vAlign w:val="center"/>
          </w:tcPr>
          <w:p w14:paraId="6F66FE7A">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-4.23</w:t>
            </w:r>
          </w:p>
        </w:tc>
        <w:tc>
          <w:tcPr>
            <w:tcW w:w="1140" w:type="dxa"/>
            <w:tcBorders>
              <w:top w:val="nil"/>
              <w:left w:val="nil"/>
              <w:bottom w:val="single" w:color="auto" w:sz="4" w:space="0"/>
              <w:right w:val="single" w:color="auto" w:sz="4" w:space="0"/>
            </w:tcBorders>
            <w:noWrap/>
            <w:tcMar>
              <w:top w:w="15" w:type="dxa"/>
              <w:left w:w="15" w:type="dxa"/>
              <w:right w:w="15" w:type="dxa"/>
            </w:tcMar>
            <w:vAlign w:val="center"/>
          </w:tcPr>
          <w:p w14:paraId="557AE5E9">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-19.63</w:t>
            </w:r>
          </w:p>
        </w:tc>
      </w:tr>
      <w:tr w14:paraId="19B4BFBC">
        <w:tblPrEx>
          <w:tblCellMar>
            <w:top w:w="0" w:type="dxa"/>
            <w:left w:w="0" w:type="dxa"/>
            <w:bottom w:w="0" w:type="dxa"/>
            <w:right w:w="0" w:type="dxa"/>
          </w:tblCellMar>
        </w:tblPrEx>
        <w:trPr>
          <w:trHeight w:val="430" w:hRule="exact"/>
        </w:trPr>
        <w:tc>
          <w:tcPr>
            <w:tcW w:w="1867"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0E70DB7F">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光伏发电</w:t>
            </w:r>
          </w:p>
        </w:tc>
        <w:tc>
          <w:tcPr>
            <w:tcW w:w="1305" w:type="dxa"/>
            <w:tcBorders>
              <w:top w:val="nil"/>
              <w:left w:val="nil"/>
              <w:bottom w:val="single" w:color="auto" w:sz="4" w:space="0"/>
              <w:right w:val="single" w:color="auto" w:sz="4" w:space="0"/>
            </w:tcBorders>
            <w:noWrap/>
            <w:tcMar>
              <w:top w:w="15" w:type="dxa"/>
              <w:left w:w="15" w:type="dxa"/>
              <w:right w:w="15" w:type="dxa"/>
            </w:tcMar>
            <w:vAlign w:val="center"/>
          </w:tcPr>
          <w:p w14:paraId="4FC5B857">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亿千瓦时</w:t>
            </w:r>
          </w:p>
        </w:tc>
        <w:tc>
          <w:tcPr>
            <w:tcW w:w="1590" w:type="dxa"/>
            <w:tcBorders>
              <w:top w:val="nil"/>
              <w:left w:val="nil"/>
              <w:bottom w:val="single" w:color="auto" w:sz="4" w:space="0"/>
              <w:right w:val="single" w:color="auto" w:sz="4" w:space="0"/>
            </w:tcBorders>
            <w:noWrap/>
            <w:tcMar>
              <w:top w:w="15" w:type="dxa"/>
              <w:left w:w="15" w:type="dxa"/>
              <w:right w:w="15" w:type="dxa"/>
            </w:tcMar>
            <w:vAlign w:val="center"/>
          </w:tcPr>
          <w:p w14:paraId="0320B4EF">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12.52</w:t>
            </w:r>
          </w:p>
        </w:tc>
        <w:tc>
          <w:tcPr>
            <w:tcW w:w="1553" w:type="dxa"/>
            <w:tcBorders>
              <w:top w:val="nil"/>
              <w:left w:val="nil"/>
              <w:bottom w:val="single" w:color="auto" w:sz="4" w:space="0"/>
              <w:right w:val="single" w:color="auto" w:sz="4" w:space="0"/>
            </w:tcBorders>
            <w:noWrap/>
            <w:tcMar>
              <w:top w:w="15" w:type="dxa"/>
              <w:left w:w="15" w:type="dxa"/>
              <w:right w:w="15" w:type="dxa"/>
            </w:tcMar>
            <w:vAlign w:val="center"/>
          </w:tcPr>
          <w:p w14:paraId="0708040B">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16.46</w:t>
            </w:r>
          </w:p>
        </w:tc>
        <w:tc>
          <w:tcPr>
            <w:tcW w:w="1140" w:type="dxa"/>
            <w:tcBorders>
              <w:top w:val="nil"/>
              <w:left w:val="nil"/>
              <w:bottom w:val="single" w:color="auto" w:sz="4" w:space="0"/>
              <w:right w:val="single" w:color="auto" w:sz="4" w:space="0"/>
            </w:tcBorders>
            <w:noWrap/>
            <w:tcMar>
              <w:top w:w="15" w:type="dxa"/>
              <w:left w:w="15" w:type="dxa"/>
              <w:right w:w="15" w:type="dxa"/>
            </w:tcMar>
            <w:vAlign w:val="center"/>
          </w:tcPr>
          <w:p w14:paraId="378E7A81">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-3.94</w:t>
            </w:r>
          </w:p>
        </w:tc>
        <w:tc>
          <w:tcPr>
            <w:tcW w:w="1140" w:type="dxa"/>
            <w:tcBorders>
              <w:top w:val="nil"/>
              <w:left w:val="nil"/>
              <w:bottom w:val="single" w:color="auto" w:sz="4" w:space="0"/>
              <w:right w:val="single" w:color="auto" w:sz="4" w:space="0"/>
            </w:tcBorders>
            <w:noWrap/>
            <w:tcMar>
              <w:top w:w="15" w:type="dxa"/>
              <w:left w:w="15" w:type="dxa"/>
              <w:right w:w="15" w:type="dxa"/>
            </w:tcMar>
            <w:vAlign w:val="center"/>
          </w:tcPr>
          <w:p w14:paraId="36DD3C97">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-23.94</w:t>
            </w:r>
          </w:p>
        </w:tc>
      </w:tr>
      <w:tr w14:paraId="0AFB6A52">
        <w:tblPrEx>
          <w:tblCellMar>
            <w:top w:w="0" w:type="dxa"/>
            <w:left w:w="0" w:type="dxa"/>
            <w:bottom w:w="0" w:type="dxa"/>
            <w:right w:w="0" w:type="dxa"/>
          </w:tblCellMar>
        </w:tblPrEx>
        <w:trPr>
          <w:trHeight w:val="432" w:hRule="exact"/>
        </w:trPr>
        <w:tc>
          <w:tcPr>
            <w:tcW w:w="1867"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01FF7E91">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水泥</w:t>
            </w:r>
          </w:p>
        </w:tc>
        <w:tc>
          <w:tcPr>
            <w:tcW w:w="1305" w:type="dxa"/>
            <w:tcBorders>
              <w:top w:val="nil"/>
              <w:left w:val="nil"/>
              <w:bottom w:val="single" w:color="auto" w:sz="4" w:space="0"/>
              <w:right w:val="single" w:color="auto" w:sz="4" w:space="0"/>
            </w:tcBorders>
            <w:noWrap/>
            <w:tcMar>
              <w:top w:w="15" w:type="dxa"/>
              <w:left w:w="15" w:type="dxa"/>
              <w:right w:w="15" w:type="dxa"/>
            </w:tcMar>
            <w:vAlign w:val="center"/>
          </w:tcPr>
          <w:p w14:paraId="258D6B4E">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万吨</w:t>
            </w:r>
          </w:p>
        </w:tc>
        <w:tc>
          <w:tcPr>
            <w:tcW w:w="1590" w:type="dxa"/>
            <w:tcBorders>
              <w:top w:val="nil"/>
              <w:left w:val="nil"/>
              <w:bottom w:val="single" w:color="auto" w:sz="4" w:space="0"/>
              <w:right w:val="single" w:color="auto" w:sz="4" w:space="0"/>
            </w:tcBorders>
            <w:noWrap/>
            <w:tcMar>
              <w:top w:w="15" w:type="dxa"/>
              <w:left w:w="15" w:type="dxa"/>
              <w:right w:w="15" w:type="dxa"/>
            </w:tcMar>
            <w:vAlign w:val="center"/>
          </w:tcPr>
          <w:p w14:paraId="4E04B53E">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87.3</w:t>
            </w:r>
          </w:p>
        </w:tc>
        <w:tc>
          <w:tcPr>
            <w:tcW w:w="1553" w:type="dxa"/>
            <w:tcBorders>
              <w:top w:val="nil"/>
              <w:left w:val="nil"/>
              <w:bottom w:val="single" w:color="auto" w:sz="4" w:space="0"/>
              <w:right w:val="single" w:color="auto" w:sz="4" w:space="0"/>
            </w:tcBorders>
            <w:noWrap/>
            <w:tcMar>
              <w:top w:w="15" w:type="dxa"/>
              <w:left w:w="15" w:type="dxa"/>
              <w:right w:w="15" w:type="dxa"/>
            </w:tcMar>
            <w:vAlign w:val="center"/>
          </w:tcPr>
          <w:p w14:paraId="060C6B05">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65.26</w:t>
            </w:r>
          </w:p>
        </w:tc>
        <w:tc>
          <w:tcPr>
            <w:tcW w:w="1140" w:type="dxa"/>
            <w:tcBorders>
              <w:top w:val="nil"/>
              <w:left w:val="nil"/>
              <w:bottom w:val="single" w:color="auto" w:sz="4" w:space="0"/>
              <w:right w:val="single" w:color="auto" w:sz="4" w:space="0"/>
            </w:tcBorders>
            <w:noWrap/>
            <w:tcMar>
              <w:top w:w="15" w:type="dxa"/>
              <w:left w:w="15" w:type="dxa"/>
              <w:right w:w="15" w:type="dxa"/>
            </w:tcMar>
            <w:vAlign w:val="center"/>
          </w:tcPr>
          <w:p w14:paraId="4A5EE46F">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22.04</w:t>
            </w:r>
          </w:p>
        </w:tc>
        <w:tc>
          <w:tcPr>
            <w:tcW w:w="1140" w:type="dxa"/>
            <w:tcBorders>
              <w:top w:val="nil"/>
              <w:left w:val="nil"/>
              <w:bottom w:val="single" w:color="auto" w:sz="4" w:space="0"/>
              <w:right w:val="single" w:color="auto" w:sz="4" w:space="0"/>
            </w:tcBorders>
            <w:noWrap/>
            <w:tcMar>
              <w:top w:w="15" w:type="dxa"/>
              <w:left w:w="15" w:type="dxa"/>
              <w:right w:w="15" w:type="dxa"/>
            </w:tcMar>
            <w:vAlign w:val="center"/>
          </w:tcPr>
          <w:p w14:paraId="07043B1D">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33.77</w:t>
            </w:r>
          </w:p>
        </w:tc>
      </w:tr>
      <w:tr w14:paraId="65AFC207">
        <w:tblPrEx>
          <w:tblCellMar>
            <w:top w:w="0" w:type="dxa"/>
            <w:left w:w="0" w:type="dxa"/>
            <w:bottom w:w="0" w:type="dxa"/>
            <w:right w:w="0" w:type="dxa"/>
          </w:tblCellMar>
        </w:tblPrEx>
        <w:trPr>
          <w:trHeight w:val="472" w:hRule="exact"/>
        </w:trPr>
        <w:tc>
          <w:tcPr>
            <w:tcW w:w="1867"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6B68078B">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原盐</w:t>
            </w:r>
          </w:p>
        </w:tc>
        <w:tc>
          <w:tcPr>
            <w:tcW w:w="1305" w:type="dxa"/>
            <w:tcBorders>
              <w:top w:val="nil"/>
              <w:left w:val="nil"/>
              <w:bottom w:val="single" w:color="auto" w:sz="4" w:space="0"/>
              <w:right w:val="single" w:color="auto" w:sz="4" w:space="0"/>
            </w:tcBorders>
            <w:noWrap/>
            <w:tcMar>
              <w:top w:w="15" w:type="dxa"/>
              <w:left w:w="15" w:type="dxa"/>
              <w:right w:w="15" w:type="dxa"/>
            </w:tcMar>
            <w:vAlign w:val="center"/>
          </w:tcPr>
          <w:p w14:paraId="3C6CAD4B">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万吨</w:t>
            </w:r>
          </w:p>
        </w:tc>
        <w:tc>
          <w:tcPr>
            <w:tcW w:w="1590" w:type="dxa"/>
            <w:tcBorders>
              <w:top w:val="nil"/>
              <w:left w:val="nil"/>
              <w:bottom w:val="single" w:color="auto" w:sz="4" w:space="0"/>
              <w:right w:val="single" w:color="auto" w:sz="4" w:space="0"/>
            </w:tcBorders>
            <w:noWrap/>
            <w:tcMar>
              <w:top w:w="15" w:type="dxa"/>
              <w:left w:w="15" w:type="dxa"/>
              <w:right w:w="15" w:type="dxa"/>
            </w:tcMar>
            <w:vAlign w:val="center"/>
          </w:tcPr>
          <w:p w14:paraId="2925649A">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190.78</w:t>
            </w:r>
          </w:p>
        </w:tc>
        <w:tc>
          <w:tcPr>
            <w:tcW w:w="1553" w:type="dxa"/>
            <w:tcBorders>
              <w:top w:val="nil"/>
              <w:left w:val="nil"/>
              <w:bottom w:val="single" w:color="auto" w:sz="4" w:space="0"/>
              <w:right w:val="single" w:color="auto" w:sz="4" w:space="0"/>
            </w:tcBorders>
            <w:noWrap/>
            <w:tcMar>
              <w:top w:w="15" w:type="dxa"/>
              <w:left w:w="15" w:type="dxa"/>
              <w:right w:w="15" w:type="dxa"/>
            </w:tcMar>
            <w:vAlign w:val="center"/>
          </w:tcPr>
          <w:p w14:paraId="11F66FC0">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171.61</w:t>
            </w:r>
          </w:p>
        </w:tc>
        <w:tc>
          <w:tcPr>
            <w:tcW w:w="1140" w:type="dxa"/>
            <w:tcBorders>
              <w:top w:val="nil"/>
              <w:left w:val="nil"/>
              <w:bottom w:val="single" w:color="auto" w:sz="4" w:space="0"/>
              <w:right w:val="single" w:color="auto" w:sz="4" w:space="0"/>
            </w:tcBorders>
            <w:noWrap/>
            <w:tcMar>
              <w:top w:w="15" w:type="dxa"/>
              <w:left w:w="15" w:type="dxa"/>
              <w:right w:w="15" w:type="dxa"/>
            </w:tcMar>
            <w:vAlign w:val="center"/>
          </w:tcPr>
          <w:p w14:paraId="68518CDE">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19.17</w:t>
            </w:r>
          </w:p>
        </w:tc>
        <w:tc>
          <w:tcPr>
            <w:tcW w:w="1140" w:type="dxa"/>
            <w:tcBorders>
              <w:top w:val="nil"/>
              <w:left w:val="nil"/>
              <w:bottom w:val="single" w:color="auto" w:sz="4" w:space="0"/>
              <w:right w:val="single" w:color="auto" w:sz="4" w:space="0"/>
            </w:tcBorders>
            <w:noWrap/>
            <w:tcMar>
              <w:top w:w="15" w:type="dxa"/>
              <w:left w:w="15" w:type="dxa"/>
              <w:right w:w="15" w:type="dxa"/>
            </w:tcMar>
            <w:vAlign w:val="center"/>
          </w:tcPr>
          <w:p w14:paraId="6ACDC8E3">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11.17</w:t>
            </w:r>
          </w:p>
        </w:tc>
      </w:tr>
      <w:tr w14:paraId="60FFA6AC">
        <w:tblPrEx>
          <w:tblCellMar>
            <w:top w:w="0" w:type="dxa"/>
            <w:left w:w="0" w:type="dxa"/>
            <w:bottom w:w="0" w:type="dxa"/>
            <w:right w:w="0" w:type="dxa"/>
          </w:tblCellMar>
        </w:tblPrEx>
        <w:trPr>
          <w:trHeight w:val="488" w:hRule="exact"/>
        </w:trPr>
        <w:tc>
          <w:tcPr>
            <w:tcW w:w="1867"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518FAFAB">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原煤</w:t>
            </w:r>
          </w:p>
        </w:tc>
        <w:tc>
          <w:tcPr>
            <w:tcW w:w="1305" w:type="dxa"/>
            <w:tcBorders>
              <w:top w:val="nil"/>
              <w:left w:val="nil"/>
              <w:bottom w:val="single" w:color="auto" w:sz="4" w:space="0"/>
              <w:right w:val="single" w:color="auto" w:sz="4" w:space="0"/>
            </w:tcBorders>
            <w:noWrap/>
            <w:tcMar>
              <w:top w:w="15" w:type="dxa"/>
              <w:left w:w="15" w:type="dxa"/>
              <w:right w:w="15" w:type="dxa"/>
            </w:tcMar>
            <w:vAlign w:val="center"/>
          </w:tcPr>
          <w:p w14:paraId="3887443C">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万吨</w:t>
            </w:r>
          </w:p>
        </w:tc>
        <w:tc>
          <w:tcPr>
            <w:tcW w:w="1590" w:type="dxa"/>
            <w:tcBorders>
              <w:top w:val="nil"/>
              <w:left w:val="nil"/>
              <w:bottom w:val="single" w:color="auto" w:sz="4" w:space="0"/>
              <w:right w:val="single" w:color="auto" w:sz="4" w:space="0"/>
            </w:tcBorders>
            <w:noWrap/>
            <w:tcMar>
              <w:top w:w="15" w:type="dxa"/>
              <w:left w:w="15" w:type="dxa"/>
              <w:right w:w="15" w:type="dxa"/>
            </w:tcMar>
            <w:vAlign w:val="center"/>
          </w:tcPr>
          <w:p w14:paraId="524BD863">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436.89</w:t>
            </w:r>
          </w:p>
        </w:tc>
        <w:tc>
          <w:tcPr>
            <w:tcW w:w="1553" w:type="dxa"/>
            <w:tcBorders>
              <w:top w:val="nil"/>
              <w:left w:val="nil"/>
              <w:bottom w:val="single" w:color="auto" w:sz="4" w:space="0"/>
              <w:right w:val="single" w:color="auto" w:sz="4" w:space="0"/>
            </w:tcBorders>
            <w:noWrap/>
            <w:tcMar>
              <w:top w:w="15" w:type="dxa"/>
              <w:left w:w="15" w:type="dxa"/>
              <w:right w:w="15" w:type="dxa"/>
            </w:tcMar>
            <w:vAlign w:val="center"/>
          </w:tcPr>
          <w:p w14:paraId="3F496BEA">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418.55</w:t>
            </w:r>
          </w:p>
        </w:tc>
        <w:tc>
          <w:tcPr>
            <w:tcW w:w="1140" w:type="dxa"/>
            <w:tcBorders>
              <w:top w:val="nil"/>
              <w:left w:val="nil"/>
              <w:bottom w:val="single" w:color="auto" w:sz="4" w:space="0"/>
              <w:right w:val="single" w:color="auto" w:sz="4" w:space="0"/>
            </w:tcBorders>
            <w:noWrap/>
            <w:tcMar>
              <w:top w:w="15" w:type="dxa"/>
              <w:left w:w="15" w:type="dxa"/>
              <w:right w:w="15" w:type="dxa"/>
            </w:tcMar>
            <w:vAlign w:val="center"/>
          </w:tcPr>
          <w:p w14:paraId="4E05F018">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19.34</w:t>
            </w:r>
          </w:p>
        </w:tc>
        <w:tc>
          <w:tcPr>
            <w:tcW w:w="1140" w:type="dxa"/>
            <w:tcBorders>
              <w:top w:val="nil"/>
              <w:left w:val="nil"/>
              <w:bottom w:val="single" w:color="auto" w:sz="4" w:space="0"/>
              <w:right w:val="single" w:color="auto" w:sz="4" w:space="0"/>
            </w:tcBorders>
            <w:noWrap/>
            <w:tcMar>
              <w:top w:w="15" w:type="dxa"/>
              <w:left w:w="15" w:type="dxa"/>
              <w:right w:w="15" w:type="dxa"/>
            </w:tcMar>
            <w:vAlign w:val="center"/>
          </w:tcPr>
          <w:p w14:paraId="13906877">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4.38</w:t>
            </w:r>
          </w:p>
        </w:tc>
      </w:tr>
      <w:tr w14:paraId="2E384CF6">
        <w:tblPrEx>
          <w:tblCellMar>
            <w:top w:w="0" w:type="dxa"/>
            <w:left w:w="0" w:type="dxa"/>
            <w:bottom w:w="0" w:type="dxa"/>
            <w:right w:w="0" w:type="dxa"/>
          </w:tblCellMar>
        </w:tblPrEx>
        <w:trPr>
          <w:trHeight w:val="475" w:hRule="exact"/>
        </w:trPr>
        <w:tc>
          <w:tcPr>
            <w:tcW w:w="1867"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15EF7BA3">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钾肥</w:t>
            </w:r>
          </w:p>
        </w:tc>
        <w:tc>
          <w:tcPr>
            <w:tcW w:w="1305" w:type="dxa"/>
            <w:tcBorders>
              <w:top w:val="nil"/>
              <w:left w:val="nil"/>
              <w:bottom w:val="single" w:color="auto" w:sz="4" w:space="0"/>
              <w:right w:val="single" w:color="auto" w:sz="4" w:space="0"/>
            </w:tcBorders>
            <w:noWrap/>
            <w:tcMar>
              <w:top w:w="15" w:type="dxa"/>
              <w:left w:w="15" w:type="dxa"/>
              <w:right w:w="15" w:type="dxa"/>
            </w:tcMar>
            <w:vAlign w:val="center"/>
          </w:tcPr>
          <w:p w14:paraId="6543D65E">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吨</w:t>
            </w:r>
          </w:p>
        </w:tc>
        <w:tc>
          <w:tcPr>
            <w:tcW w:w="1590" w:type="dxa"/>
            <w:tcBorders>
              <w:top w:val="nil"/>
              <w:left w:val="nil"/>
              <w:bottom w:val="single" w:color="auto" w:sz="4" w:space="0"/>
              <w:right w:val="single" w:color="auto" w:sz="4" w:space="0"/>
            </w:tcBorders>
            <w:noWrap/>
            <w:tcMar>
              <w:top w:w="15" w:type="dxa"/>
              <w:left w:w="15" w:type="dxa"/>
              <w:right w:w="15" w:type="dxa"/>
            </w:tcMar>
            <w:vAlign w:val="center"/>
          </w:tcPr>
          <w:p w14:paraId="52E94188">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3990.72</w:t>
            </w:r>
          </w:p>
        </w:tc>
        <w:tc>
          <w:tcPr>
            <w:tcW w:w="1553" w:type="dxa"/>
            <w:tcBorders>
              <w:top w:val="nil"/>
              <w:left w:val="nil"/>
              <w:bottom w:val="single" w:color="auto" w:sz="4" w:space="0"/>
              <w:right w:val="single" w:color="auto" w:sz="4" w:space="0"/>
            </w:tcBorders>
            <w:noWrap/>
            <w:tcMar>
              <w:top w:w="15" w:type="dxa"/>
              <w:left w:w="15" w:type="dxa"/>
              <w:right w:w="15" w:type="dxa"/>
            </w:tcMar>
            <w:vAlign w:val="center"/>
          </w:tcPr>
          <w:p w14:paraId="5F95F0B3">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7636.61</w:t>
            </w:r>
          </w:p>
        </w:tc>
        <w:tc>
          <w:tcPr>
            <w:tcW w:w="1140" w:type="dxa"/>
            <w:tcBorders>
              <w:top w:val="nil"/>
              <w:left w:val="nil"/>
              <w:bottom w:val="single" w:color="auto" w:sz="4" w:space="0"/>
              <w:right w:val="single" w:color="auto" w:sz="4" w:space="0"/>
            </w:tcBorders>
            <w:noWrap/>
            <w:tcMar>
              <w:top w:w="15" w:type="dxa"/>
              <w:left w:w="15" w:type="dxa"/>
              <w:right w:w="15" w:type="dxa"/>
            </w:tcMar>
            <w:vAlign w:val="center"/>
          </w:tcPr>
          <w:p w14:paraId="33998619">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-3645.89</w:t>
            </w:r>
          </w:p>
        </w:tc>
        <w:tc>
          <w:tcPr>
            <w:tcW w:w="1140" w:type="dxa"/>
            <w:tcBorders>
              <w:top w:val="nil"/>
              <w:left w:val="nil"/>
              <w:bottom w:val="single" w:color="auto" w:sz="4" w:space="0"/>
              <w:right w:val="single" w:color="auto" w:sz="4" w:space="0"/>
            </w:tcBorders>
            <w:noWrap/>
            <w:tcMar>
              <w:top w:w="15" w:type="dxa"/>
              <w:left w:w="15" w:type="dxa"/>
              <w:right w:w="15" w:type="dxa"/>
            </w:tcMar>
            <w:vAlign w:val="center"/>
          </w:tcPr>
          <w:p w14:paraId="0897C1C9">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-47.74</w:t>
            </w:r>
          </w:p>
        </w:tc>
      </w:tr>
    </w:tbl>
    <w:p w14:paraId="2C79B4CD">
      <w:pPr>
        <w:pageBreakBefore w:val="0"/>
        <w:numPr>
          <w:ilvl w:val="0"/>
          <w:numId w:val="0"/>
        </w:numPr>
        <w:kinsoku/>
        <w:wordWrap/>
        <w:overflowPunct/>
        <w:topLinePunct w:val="0"/>
        <w:autoSpaceDE/>
        <w:autoSpaceDN/>
        <w:bidi w:val="0"/>
        <w:adjustRightInd/>
        <w:snapToGrid/>
        <w:spacing w:line="560" w:lineRule="exact"/>
        <w:ind w:firstLine="643" w:firstLineChars="200"/>
        <w:jc w:val="left"/>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sz w:val="32"/>
          <w:szCs w:val="32"/>
          <w:lang w:val="en-US" w:eastAsia="zh-CN"/>
        </w:rPr>
        <w:t>（三）固定资产投资完成情况。</w:t>
      </w:r>
      <w:r>
        <w:rPr>
          <w:rFonts w:hint="eastAsia" w:ascii="仿宋_GB2312" w:hAnsi="仿宋_GB2312" w:eastAsia="仿宋_GB2312" w:cs="仿宋_GB2312"/>
          <w:b w:val="0"/>
          <w:bCs w:val="0"/>
          <w:color w:val="auto"/>
          <w:sz w:val="32"/>
          <w:szCs w:val="32"/>
          <w:lang w:val="en-US" w:eastAsia="zh-CN"/>
        </w:rPr>
        <w:t>1-9月，全县在库项目 77个，施工项目个数49个，完成固定资产投资62.57亿元，同比增长110.7%。</w:t>
      </w:r>
      <w:r>
        <w:rPr>
          <w:rFonts w:hint="eastAsia" w:ascii="仿宋_GB2312" w:hAnsi="仿宋_GB2312" w:eastAsia="仿宋_GB2312" w:cs="仿宋_GB2312"/>
          <w:b/>
          <w:bCs/>
          <w:color w:val="auto"/>
          <w:sz w:val="32"/>
          <w:szCs w:val="32"/>
          <w:lang w:val="en-US" w:eastAsia="zh-CN"/>
        </w:rPr>
        <w:t>从产业来看，</w:t>
      </w:r>
      <w:r>
        <w:rPr>
          <w:rFonts w:hint="eastAsia" w:ascii="仿宋_GB2312" w:hAnsi="仿宋_GB2312" w:eastAsia="仿宋_GB2312" w:cs="仿宋_GB2312"/>
          <w:b w:val="0"/>
          <w:bCs w:val="0"/>
          <w:color w:val="auto"/>
          <w:sz w:val="32"/>
          <w:szCs w:val="32"/>
          <w:lang w:val="en-US" w:eastAsia="zh-CN"/>
        </w:rPr>
        <w:t>投资主要集中在第二产业和第三产业，其中：第一产业完成投资0.36亿元，同比增长316.1%，第二产业完成投资59.93亿元，同比增长138.7%，第三产业完成投资2.29亿元，同比下降49.2%。</w:t>
      </w:r>
      <w:r>
        <w:rPr>
          <w:rFonts w:hint="eastAsia" w:ascii="仿宋_GB2312" w:hAnsi="仿宋_GB2312" w:eastAsia="仿宋_GB2312" w:cs="仿宋_GB2312"/>
          <w:b/>
          <w:bCs/>
          <w:color w:val="auto"/>
          <w:sz w:val="32"/>
          <w:szCs w:val="32"/>
          <w:lang w:val="en-US" w:eastAsia="zh-CN"/>
        </w:rPr>
        <w:t>按投资构成分，</w:t>
      </w:r>
      <w:r>
        <w:rPr>
          <w:rFonts w:hint="eastAsia" w:ascii="仿宋_GB2312" w:hAnsi="仿宋_GB2312" w:eastAsia="仿宋_GB2312" w:cs="仿宋_GB2312"/>
          <w:b w:val="0"/>
          <w:bCs w:val="0"/>
          <w:color w:val="auto"/>
          <w:sz w:val="32"/>
          <w:szCs w:val="32"/>
          <w:lang w:val="en-US" w:eastAsia="zh-CN"/>
        </w:rPr>
        <w:t>建筑安装工程投资33.82亿元，同比增长30.9%，设备工器具购置投资27.22亿元，同比增长1056.8%，其他费用投资1.51亿元，同比增长0.8%。</w:t>
      </w:r>
    </w:p>
    <w:p w14:paraId="3B3D058C">
      <w:pPr>
        <w:pageBreakBefore w:val="0"/>
        <w:numPr>
          <w:ilvl w:val="0"/>
          <w:numId w:val="0"/>
        </w:numPr>
        <w:kinsoku/>
        <w:wordWrap/>
        <w:overflowPunct/>
        <w:topLinePunct w:val="0"/>
        <w:autoSpaceDE/>
        <w:autoSpaceDN/>
        <w:bidi w:val="0"/>
        <w:adjustRightInd/>
        <w:snapToGrid/>
        <w:spacing w:line="560" w:lineRule="exact"/>
        <w:ind w:firstLine="643" w:firstLineChars="200"/>
        <w:jc w:val="left"/>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auto"/>
          <w:sz w:val="32"/>
          <w:szCs w:val="32"/>
          <w:lang w:val="en-US" w:eastAsia="zh-CN"/>
        </w:rPr>
        <w:t>（四）建筑业市场呈上升态势。</w:t>
      </w:r>
      <w:r>
        <w:rPr>
          <w:rFonts w:hint="eastAsia" w:ascii="仿宋_GB2312" w:hAnsi="仿宋_GB2312" w:eastAsia="仿宋_GB2312" w:cs="仿宋_GB2312"/>
          <w:b w:val="0"/>
          <w:bCs w:val="0"/>
          <w:color w:val="auto"/>
          <w:sz w:val="32"/>
          <w:szCs w:val="32"/>
          <w:lang w:val="en-US" w:eastAsia="zh-CN"/>
        </w:rPr>
        <w:t>1-9月，全县完成建筑业增加值9130万元，同比增长7.4%，在库的三家建筑业企业实现总产值1.51元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color w:val="auto"/>
          <w:sz w:val="32"/>
          <w:szCs w:val="32"/>
          <w:lang w:val="en-US" w:eastAsia="zh-CN"/>
        </w:rPr>
        <w:t>同比增长4.4%。分企业看，新疆赛尔山市政工程有限公司产值增长27.6%，新疆正升建设工程有限责任公司产值下降44.1%，新疆全荣建设工程有限公司产值产值507.5%。</w:t>
      </w:r>
    </w:p>
    <w:p w14:paraId="40628F7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highlight w:val="none"/>
          <w:lang w:val="en-US" w:eastAsia="zh-CN"/>
        </w:rPr>
        <w:t>（五）商贸流通呈增长趋势。</w:t>
      </w:r>
      <w:r>
        <w:rPr>
          <w:rFonts w:hint="eastAsia" w:ascii="仿宋_GB2312" w:hAnsi="仿宋_GB2312" w:eastAsia="仿宋_GB2312" w:cs="仿宋_GB2312"/>
          <w:color w:val="auto"/>
          <w:sz w:val="32"/>
          <w:szCs w:val="32"/>
          <w:lang w:val="en-US" w:eastAsia="zh-CN"/>
        </w:rPr>
        <w:t>1-9月，全县实现社会消费品零售总额14185.1万元，同比增长2.9%。按行业分，批发业零售额2016.1万元，增长1.31%；零售业零售额8240.9万元，增长9.1%；住宿业零售额1692.7万元，增长22%；餐饮业零售额2235.4万元，增长46.9%。</w:t>
      </w:r>
    </w:p>
    <w:p w14:paraId="4B77FD53">
      <w:pPr>
        <w:pStyle w:val="5"/>
        <w:pageBreakBefore w:val="0"/>
        <w:kinsoku/>
        <w:wordWrap/>
        <w:overflowPunct/>
        <w:topLinePunct w:val="0"/>
        <w:autoSpaceDE/>
        <w:autoSpaceDN/>
        <w:bidi w:val="0"/>
        <w:adjustRightInd/>
        <w:snapToGrid/>
        <w:spacing w:line="560" w:lineRule="exact"/>
        <w:ind w:left="0" w:leftChars="0" w:firstLine="0" w:firstLineChars="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lang w:val="en-US" w:eastAsia="zh-CN"/>
        </w:rPr>
        <w:t xml:space="preserve">    1-9月</w:t>
      </w:r>
      <w:r>
        <w:rPr>
          <w:rFonts w:hint="eastAsia" w:ascii="仿宋_GB2312" w:hAnsi="仿宋_GB2312" w:eastAsia="仿宋_GB2312" w:cs="仿宋_GB2312"/>
          <w:b/>
          <w:bCs/>
          <w:color w:val="auto"/>
          <w:sz w:val="30"/>
          <w:szCs w:val="30"/>
        </w:rPr>
        <w:t>全县社会消费品零售总额完成情况</w:t>
      </w:r>
      <w:r>
        <w:rPr>
          <w:rFonts w:hint="eastAsia" w:ascii="仿宋_GB2312" w:hAnsi="仿宋_GB2312" w:eastAsia="仿宋_GB2312" w:cs="仿宋_GB2312"/>
          <w:b/>
          <w:bCs/>
          <w:color w:val="auto"/>
          <w:sz w:val="28"/>
          <w:szCs w:val="28"/>
          <w:lang w:val="en-US" w:eastAsia="zh-CN"/>
        </w:rPr>
        <w:t>（单位万元）</w:t>
      </w:r>
      <w:r>
        <w:rPr>
          <w:rFonts w:hint="eastAsia" w:ascii="仿宋_GB2312" w:hAnsi="仿宋_GB2312" w:eastAsia="仿宋_GB2312" w:cs="仿宋_GB2312"/>
          <w:b/>
          <w:bCs/>
          <w:color w:val="auto"/>
          <w:sz w:val="30"/>
          <w:szCs w:val="30"/>
          <w:lang w:val="en-US" w:eastAsia="zh-CN"/>
        </w:rPr>
        <w:t xml:space="preserve"> </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2"/>
          <w:szCs w:val="32"/>
          <w:lang w:val="en-US" w:eastAsia="zh-CN"/>
        </w:rPr>
        <w:t xml:space="preserve">                                              </w:t>
      </w:r>
    </w:p>
    <w:tbl>
      <w:tblPr>
        <w:tblStyle w:val="7"/>
        <w:tblW w:w="8379" w:type="dxa"/>
        <w:jc w:val="center"/>
        <w:tblLayout w:type="fixed"/>
        <w:tblCellMar>
          <w:top w:w="0" w:type="dxa"/>
          <w:left w:w="0" w:type="dxa"/>
          <w:bottom w:w="0" w:type="dxa"/>
          <w:right w:w="0" w:type="dxa"/>
        </w:tblCellMar>
      </w:tblPr>
      <w:tblGrid>
        <w:gridCol w:w="1452"/>
        <w:gridCol w:w="904"/>
        <w:gridCol w:w="584"/>
        <w:gridCol w:w="735"/>
        <w:gridCol w:w="615"/>
        <w:gridCol w:w="720"/>
        <w:gridCol w:w="600"/>
        <w:gridCol w:w="675"/>
        <w:gridCol w:w="735"/>
        <w:gridCol w:w="735"/>
        <w:gridCol w:w="624"/>
      </w:tblGrid>
      <w:tr w14:paraId="76A5DC79">
        <w:tblPrEx>
          <w:tblCellMar>
            <w:top w:w="0" w:type="dxa"/>
            <w:left w:w="0" w:type="dxa"/>
            <w:bottom w:w="0" w:type="dxa"/>
            <w:right w:w="0" w:type="dxa"/>
          </w:tblCellMar>
        </w:tblPrEx>
        <w:trPr>
          <w:trHeight w:val="751" w:hRule="atLeast"/>
          <w:jc w:val="center"/>
        </w:trPr>
        <w:tc>
          <w:tcPr>
            <w:tcW w:w="14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3E0B1A3">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kern w:val="0"/>
                <w:sz w:val="21"/>
                <w:szCs w:val="21"/>
              </w:rPr>
              <w:t>名称</w:t>
            </w:r>
          </w:p>
        </w:tc>
        <w:tc>
          <w:tcPr>
            <w:tcW w:w="904"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451912BB">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kern w:val="0"/>
                <w:sz w:val="21"/>
                <w:szCs w:val="21"/>
              </w:rPr>
              <w:t>社会消费品零售总额</w:t>
            </w:r>
          </w:p>
        </w:tc>
        <w:tc>
          <w:tcPr>
            <w:tcW w:w="584"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6F2E259E">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kern w:val="0"/>
                <w:sz w:val="21"/>
                <w:szCs w:val="21"/>
              </w:rPr>
              <w:t>增速%</w:t>
            </w:r>
          </w:p>
        </w:tc>
        <w:tc>
          <w:tcPr>
            <w:tcW w:w="735"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45705C71">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kern w:val="0"/>
                <w:sz w:val="21"/>
                <w:szCs w:val="21"/>
              </w:rPr>
              <w:t>批发业</w:t>
            </w:r>
          </w:p>
        </w:tc>
        <w:tc>
          <w:tcPr>
            <w:tcW w:w="615"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1A16560F">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kern w:val="0"/>
                <w:sz w:val="21"/>
                <w:szCs w:val="21"/>
              </w:rPr>
              <w:t>增速%</w:t>
            </w:r>
          </w:p>
        </w:tc>
        <w:tc>
          <w:tcPr>
            <w:tcW w:w="72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41BD4F42">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kern w:val="0"/>
                <w:sz w:val="21"/>
                <w:szCs w:val="21"/>
              </w:rPr>
              <w:t>零售业</w:t>
            </w:r>
          </w:p>
        </w:tc>
        <w:tc>
          <w:tcPr>
            <w:tcW w:w="60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0BCAA06D">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kern w:val="0"/>
                <w:sz w:val="21"/>
                <w:szCs w:val="21"/>
              </w:rPr>
              <w:t>增速%</w:t>
            </w:r>
          </w:p>
        </w:tc>
        <w:tc>
          <w:tcPr>
            <w:tcW w:w="675"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581DB62C">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kern w:val="0"/>
                <w:sz w:val="21"/>
                <w:szCs w:val="21"/>
              </w:rPr>
              <w:t>住宿业</w:t>
            </w:r>
          </w:p>
        </w:tc>
        <w:tc>
          <w:tcPr>
            <w:tcW w:w="735"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327B3189">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kern w:val="0"/>
                <w:sz w:val="21"/>
                <w:szCs w:val="21"/>
              </w:rPr>
              <w:t>增速%</w:t>
            </w:r>
          </w:p>
        </w:tc>
        <w:tc>
          <w:tcPr>
            <w:tcW w:w="735"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25F2EBD7">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kern w:val="0"/>
                <w:sz w:val="21"/>
                <w:szCs w:val="21"/>
              </w:rPr>
              <w:t>餐饮业</w:t>
            </w:r>
          </w:p>
        </w:tc>
        <w:tc>
          <w:tcPr>
            <w:tcW w:w="624"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7EF21DEA">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kern w:val="0"/>
                <w:sz w:val="21"/>
                <w:szCs w:val="21"/>
              </w:rPr>
              <w:t>增速%</w:t>
            </w:r>
          </w:p>
        </w:tc>
      </w:tr>
      <w:tr w14:paraId="51F2B0D3">
        <w:tblPrEx>
          <w:tblCellMar>
            <w:top w:w="0" w:type="dxa"/>
            <w:left w:w="0" w:type="dxa"/>
            <w:bottom w:w="0" w:type="dxa"/>
            <w:right w:w="0" w:type="dxa"/>
          </w:tblCellMar>
        </w:tblPrEx>
        <w:trPr>
          <w:trHeight w:val="600" w:hRule="atLeast"/>
          <w:jc w:val="center"/>
        </w:trPr>
        <w:tc>
          <w:tcPr>
            <w:tcW w:w="145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28691D02">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kern w:val="0"/>
                <w:sz w:val="21"/>
                <w:szCs w:val="21"/>
              </w:rPr>
              <w:t>全口径</w:t>
            </w:r>
          </w:p>
        </w:tc>
        <w:tc>
          <w:tcPr>
            <w:tcW w:w="904" w:type="dxa"/>
            <w:tcBorders>
              <w:top w:val="nil"/>
              <w:left w:val="nil"/>
              <w:bottom w:val="single" w:color="auto" w:sz="4" w:space="0"/>
              <w:right w:val="single" w:color="auto" w:sz="4" w:space="0"/>
            </w:tcBorders>
            <w:noWrap w:val="0"/>
            <w:tcMar>
              <w:top w:w="15" w:type="dxa"/>
              <w:left w:w="15" w:type="dxa"/>
              <w:right w:w="15" w:type="dxa"/>
            </w:tcMar>
            <w:vAlign w:val="center"/>
          </w:tcPr>
          <w:p w14:paraId="27C27678">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14185.1</w:t>
            </w:r>
          </w:p>
        </w:tc>
        <w:tc>
          <w:tcPr>
            <w:tcW w:w="584" w:type="dxa"/>
            <w:tcBorders>
              <w:top w:val="nil"/>
              <w:left w:val="nil"/>
              <w:bottom w:val="single" w:color="auto" w:sz="4" w:space="0"/>
              <w:right w:val="single" w:color="auto" w:sz="4" w:space="0"/>
            </w:tcBorders>
            <w:noWrap w:val="0"/>
            <w:tcMar>
              <w:top w:w="15" w:type="dxa"/>
              <w:left w:w="15" w:type="dxa"/>
              <w:right w:w="15" w:type="dxa"/>
            </w:tcMar>
            <w:vAlign w:val="center"/>
          </w:tcPr>
          <w:p w14:paraId="1571A957">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2.9</w:t>
            </w:r>
          </w:p>
        </w:tc>
        <w:tc>
          <w:tcPr>
            <w:tcW w:w="735" w:type="dxa"/>
            <w:tcBorders>
              <w:top w:val="nil"/>
              <w:left w:val="nil"/>
              <w:bottom w:val="single" w:color="auto" w:sz="4" w:space="0"/>
              <w:right w:val="single" w:color="auto" w:sz="4" w:space="0"/>
            </w:tcBorders>
            <w:noWrap w:val="0"/>
            <w:tcMar>
              <w:top w:w="15" w:type="dxa"/>
              <w:left w:w="15" w:type="dxa"/>
              <w:right w:w="15" w:type="dxa"/>
            </w:tcMar>
            <w:vAlign w:val="center"/>
          </w:tcPr>
          <w:p w14:paraId="586AA55F">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2016.1</w:t>
            </w:r>
          </w:p>
        </w:tc>
        <w:tc>
          <w:tcPr>
            <w:tcW w:w="615" w:type="dxa"/>
            <w:tcBorders>
              <w:top w:val="nil"/>
              <w:left w:val="nil"/>
              <w:bottom w:val="single" w:color="auto" w:sz="4" w:space="0"/>
              <w:right w:val="single" w:color="auto" w:sz="4" w:space="0"/>
            </w:tcBorders>
            <w:noWrap w:val="0"/>
            <w:tcMar>
              <w:top w:w="15" w:type="dxa"/>
              <w:left w:w="15" w:type="dxa"/>
              <w:right w:w="15" w:type="dxa"/>
            </w:tcMar>
            <w:vAlign w:val="center"/>
          </w:tcPr>
          <w:p w14:paraId="6FD59D17">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1.31</w:t>
            </w:r>
          </w:p>
        </w:tc>
        <w:tc>
          <w:tcPr>
            <w:tcW w:w="720" w:type="dxa"/>
            <w:tcBorders>
              <w:top w:val="nil"/>
              <w:left w:val="nil"/>
              <w:bottom w:val="single" w:color="auto" w:sz="4" w:space="0"/>
              <w:right w:val="single" w:color="auto" w:sz="4" w:space="0"/>
            </w:tcBorders>
            <w:noWrap w:val="0"/>
            <w:tcMar>
              <w:top w:w="15" w:type="dxa"/>
              <w:left w:w="15" w:type="dxa"/>
              <w:right w:w="15" w:type="dxa"/>
            </w:tcMar>
            <w:vAlign w:val="center"/>
          </w:tcPr>
          <w:p w14:paraId="7D72388F">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8240.9</w:t>
            </w:r>
          </w:p>
        </w:tc>
        <w:tc>
          <w:tcPr>
            <w:tcW w:w="600" w:type="dxa"/>
            <w:tcBorders>
              <w:top w:val="nil"/>
              <w:left w:val="nil"/>
              <w:bottom w:val="single" w:color="auto" w:sz="4" w:space="0"/>
              <w:right w:val="single" w:color="auto" w:sz="4" w:space="0"/>
            </w:tcBorders>
            <w:noWrap w:val="0"/>
            <w:tcMar>
              <w:top w:w="15" w:type="dxa"/>
              <w:left w:w="15" w:type="dxa"/>
              <w:right w:w="15" w:type="dxa"/>
            </w:tcMar>
            <w:vAlign w:val="center"/>
          </w:tcPr>
          <w:p w14:paraId="5B541AE0">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8.1</w:t>
            </w:r>
          </w:p>
        </w:tc>
        <w:tc>
          <w:tcPr>
            <w:tcW w:w="675" w:type="dxa"/>
            <w:tcBorders>
              <w:top w:val="nil"/>
              <w:left w:val="nil"/>
              <w:bottom w:val="single" w:color="auto" w:sz="4" w:space="0"/>
              <w:right w:val="single" w:color="auto" w:sz="4" w:space="0"/>
            </w:tcBorders>
            <w:noWrap w:val="0"/>
            <w:tcMar>
              <w:top w:w="15" w:type="dxa"/>
              <w:left w:w="15" w:type="dxa"/>
              <w:right w:w="15" w:type="dxa"/>
            </w:tcMar>
            <w:vAlign w:val="center"/>
          </w:tcPr>
          <w:p w14:paraId="76CF7C3F">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1692.7</w:t>
            </w:r>
          </w:p>
        </w:tc>
        <w:tc>
          <w:tcPr>
            <w:tcW w:w="735" w:type="dxa"/>
            <w:tcBorders>
              <w:top w:val="nil"/>
              <w:left w:val="nil"/>
              <w:bottom w:val="single" w:color="auto" w:sz="4" w:space="0"/>
              <w:right w:val="single" w:color="auto" w:sz="4" w:space="0"/>
            </w:tcBorders>
            <w:noWrap w:val="0"/>
            <w:tcMar>
              <w:top w:w="15" w:type="dxa"/>
              <w:left w:w="15" w:type="dxa"/>
              <w:right w:w="15" w:type="dxa"/>
            </w:tcMar>
            <w:vAlign w:val="center"/>
          </w:tcPr>
          <w:p w14:paraId="3AA05B91">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22</w:t>
            </w:r>
          </w:p>
        </w:tc>
        <w:tc>
          <w:tcPr>
            <w:tcW w:w="735" w:type="dxa"/>
            <w:tcBorders>
              <w:top w:val="nil"/>
              <w:left w:val="nil"/>
              <w:bottom w:val="single" w:color="auto" w:sz="4" w:space="0"/>
              <w:right w:val="single" w:color="auto" w:sz="4" w:space="0"/>
            </w:tcBorders>
            <w:noWrap w:val="0"/>
            <w:tcMar>
              <w:top w:w="15" w:type="dxa"/>
              <w:left w:w="15" w:type="dxa"/>
              <w:right w:w="15" w:type="dxa"/>
            </w:tcMar>
            <w:vAlign w:val="center"/>
          </w:tcPr>
          <w:p w14:paraId="617C48D6">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2235.4</w:t>
            </w:r>
          </w:p>
        </w:tc>
        <w:tc>
          <w:tcPr>
            <w:tcW w:w="624" w:type="dxa"/>
            <w:tcBorders>
              <w:top w:val="nil"/>
              <w:left w:val="nil"/>
              <w:bottom w:val="single" w:color="auto" w:sz="4" w:space="0"/>
              <w:right w:val="single" w:color="auto" w:sz="4" w:space="0"/>
            </w:tcBorders>
            <w:noWrap w:val="0"/>
            <w:tcMar>
              <w:top w:w="15" w:type="dxa"/>
              <w:left w:w="15" w:type="dxa"/>
              <w:right w:w="15" w:type="dxa"/>
            </w:tcMar>
            <w:vAlign w:val="center"/>
          </w:tcPr>
          <w:p w14:paraId="509B5E61">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46.9</w:t>
            </w:r>
          </w:p>
        </w:tc>
      </w:tr>
      <w:tr w14:paraId="05A15028">
        <w:tblPrEx>
          <w:tblCellMar>
            <w:top w:w="0" w:type="dxa"/>
            <w:left w:w="0" w:type="dxa"/>
            <w:bottom w:w="0" w:type="dxa"/>
            <w:right w:w="0" w:type="dxa"/>
          </w:tblCellMar>
        </w:tblPrEx>
        <w:trPr>
          <w:trHeight w:val="582" w:hRule="atLeast"/>
          <w:jc w:val="center"/>
        </w:trPr>
        <w:tc>
          <w:tcPr>
            <w:tcW w:w="145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7F5F6859">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其中：限额以上</w:t>
            </w:r>
          </w:p>
        </w:tc>
        <w:tc>
          <w:tcPr>
            <w:tcW w:w="904" w:type="dxa"/>
            <w:tcBorders>
              <w:top w:val="nil"/>
              <w:left w:val="nil"/>
              <w:bottom w:val="single" w:color="auto" w:sz="4" w:space="0"/>
              <w:right w:val="single" w:color="auto" w:sz="4" w:space="0"/>
            </w:tcBorders>
            <w:noWrap w:val="0"/>
            <w:tcMar>
              <w:top w:w="15" w:type="dxa"/>
              <w:left w:w="15" w:type="dxa"/>
              <w:right w:w="15" w:type="dxa"/>
            </w:tcMar>
            <w:vAlign w:val="center"/>
          </w:tcPr>
          <w:p w14:paraId="7BCFD0C1">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4999.7</w:t>
            </w:r>
          </w:p>
        </w:tc>
        <w:tc>
          <w:tcPr>
            <w:tcW w:w="584" w:type="dxa"/>
            <w:tcBorders>
              <w:top w:val="nil"/>
              <w:left w:val="nil"/>
              <w:bottom w:val="single" w:color="auto" w:sz="4" w:space="0"/>
              <w:right w:val="single" w:color="auto" w:sz="4" w:space="0"/>
            </w:tcBorders>
            <w:noWrap w:val="0"/>
            <w:tcMar>
              <w:top w:w="15" w:type="dxa"/>
              <w:left w:w="15" w:type="dxa"/>
              <w:right w:w="15" w:type="dxa"/>
            </w:tcMar>
            <w:vAlign w:val="center"/>
          </w:tcPr>
          <w:p w14:paraId="18B9C3BC">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0.11</w:t>
            </w:r>
          </w:p>
        </w:tc>
        <w:tc>
          <w:tcPr>
            <w:tcW w:w="735" w:type="dxa"/>
            <w:tcBorders>
              <w:top w:val="nil"/>
              <w:left w:val="nil"/>
              <w:bottom w:val="single" w:color="auto" w:sz="4" w:space="0"/>
              <w:right w:val="single" w:color="auto" w:sz="4" w:space="0"/>
            </w:tcBorders>
            <w:noWrap w:val="0"/>
            <w:tcMar>
              <w:top w:w="15" w:type="dxa"/>
              <w:left w:w="15" w:type="dxa"/>
              <w:right w:w="15" w:type="dxa"/>
            </w:tcMar>
            <w:vAlign w:val="center"/>
          </w:tcPr>
          <w:p w14:paraId="6D0E6DD0">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w:t>
            </w:r>
          </w:p>
        </w:tc>
        <w:tc>
          <w:tcPr>
            <w:tcW w:w="615" w:type="dxa"/>
            <w:tcBorders>
              <w:top w:val="nil"/>
              <w:left w:val="nil"/>
              <w:bottom w:val="single" w:color="auto" w:sz="4" w:space="0"/>
              <w:right w:val="single" w:color="auto" w:sz="4" w:space="0"/>
            </w:tcBorders>
            <w:noWrap w:val="0"/>
            <w:tcMar>
              <w:top w:w="15" w:type="dxa"/>
              <w:left w:w="15" w:type="dxa"/>
              <w:right w:w="15" w:type="dxa"/>
            </w:tcMar>
            <w:vAlign w:val="center"/>
          </w:tcPr>
          <w:p w14:paraId="06FECA05">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w:t>
            </w:r>
          </w:p>
        </w:tc>
        <w:tc>
          <w:tcPr>
            <w:tcW w:w="720" w:type="dxa"/>
            <w:tcBorders>
              <w:top w:val="nil"/>
              <w:left w:val="nil"/>
              <w:bottom w:val="single" w:color="auto" w:sz="4" w:space="0"/>
              <w:right w:val="single" w:color="auto" w:sz="4" w:space="0"/>
            </w:tcBorders>
            <w:noWrap w:val="0"/>
            <w:tcMar>
              <w:top w:w="15" w:type="dxa"/>
              <w:left w:w="15" w:type="dxa"/>
              <w:right w:w="15" w:type="dxa"/>
            </w:tcMar>
            <w:vAlign w:val="center"/>
          </w:tcPr>
          <w:p w14:paraId="44A709D3">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4197.1</w:t>
            </w:r>
          </w:p>
        </w:tc>
        <w:tc>
          <w:tcPr>
            <w:tcW w:w="600" w:type="dxa"/>
            <w:tcBorders>
              <w:top w:val="nil"/>
              <w:left w:val="nil"/>
              <w:bottom w:val="single" w:color="auto" w:sz="4" w:space="0"/>
              <w:right w:val="single" w:color="auto" w:sz="4" w:space="0"/>
            </w:tcBorders>
            <w:noWrap w:val="0"/>
            <w:tcMar>
              <w:top w:w="15" w:type="dxa"/>
              <w:left w:w="15" w:type="dxa"/>
              <w:right w:w="15" w:type="dxa"/>
            </w:tcMar>
            <w:vAlign w:val="center"/>
          </w:tcPr>
          <w:p w14:paraId="7699E16A">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0.86</w:t>
            </w:r>
          </w:p>
        </w:tc>
        <w:tc>
          <w:tcPr>
            <w:tcW w:w="675" w:type="dxa"/>
            <w:tcBorders>
              <w:top w:val="nil"/>
              <w:left w:val="nil"/>
              <w:bottom w:val="single" w:color="auto" w:sz="4" w:space="0"/>
              <w:right w:val="single" w:color="auto" w:sz="4" w:space="0"/>
            </w:tcBorders>
            <w:noWrap w:val="0"/>
            <w:tcMar>
              <w:top w:w="15" w:type="dxa"/>
              <w:left w:w="15" w:type="dxa"/>
              <w:right w:w="15" w:type="dxa"/>
            </w:tcMar>
            <w:vAlign w:val="center"/>
          </w:tcPr>
          <w:p w14:paraId="4A661DD0">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301.4</w:t>
            </w:r>
          </w:p>
        </w:tc>
        <w:tc>
          <w:tcPr>
            <w:tcW w:w="735" w:type="dxa"/>
            <w:tcBorders>
              <w:top w:val="nil"/>
              <w:left w:val="nil"/>
              <w:bottom w:val="single" w:color="auto" w:sz="4" w:space="0"/>
              <w:right w:val="single" w:color="auto" w:sz="4" w:space="0"/>
            </w:tcBorders>
            <w:noWrap w:val="0"/>
            <w:tcMar>
              <w:top w:w="15" w:type="dxa"/>
              <w:left w:w="15" w:type="dxa"/>
              <w:right w:w="15" w:type="dxa"/>
            </w:tcMar>
            <w:vAlign w:val="center"/>
          </w:tcPr>
          <w:p w14:paraId="4ED1D160">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-9.05</w:t>
            </w:r>
          </w:p>
        </w:tc>
        <w:tc>
          <w:tcPr>
            <w:tcW w:w="735" w:type="dxa"/>
            <w:tcBorders>
              <w:top w:val="nil"/>
              <w:left w:val="nil"/>
              <w:bottom w:val="single" w:color="auto" w:sz="4" w:space="0"/>
              <w:right w:val="single" w:color="auto" w:sz="4" w:space="0"/>
            </w:tcBorders>
            <w:noWrap w:val="0"/>
            <w:tcMar>
              <w:top w:w="15" w:type="dxa"/>
              <w:left w:w="15" w:type="dxa"/>
              <w:right w:w="15" w:type="dxa"/>
            </w:tcMar>
            <w:vAlign w:val="center"/>
          </w:tcPr>
          <w:p w14:paraId="3C81C309">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501.2</w:t>
            </w:r>
          </w:p>
        </w:tc>
        <w:tc>
          <w:tcPr>
            <w:tcW w:w="624" w:type="dxa"/>
            <w:tcBorders>
              <w:top w:val="nil"/>
              <w:left w:val="nil"/>
              <w:bottom w:val="single" w:color="auto" w:sz="4" w:space="0"/>
              <w:right w:val="single" w:color="auto" w:sz="4" w:space="0"/>
            </w:tcBorders>
            <w:noWrap w:val="0"/>
            <w:tcMar>
              <w:top w:w="15" w:type="dxa"/>
              <w:left w:w="15" w:type="dxa"/>
              <w:right w:w="15" w:type="dxa"/>
            </w:tcMar>
            <w:vAlign w:val="center"/>
          </w:tcPr>
          <w:p w14:paraId="2FB7BAB9">
            <w:pPr>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-0.02</w:t>
            </w:r>
          </w:p>
        </w:tc>
      </w:tr>
    </w:tbl>
    <w:p w14:paraId="3205915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（六）财政金融稳定增长。</w:t>
      </w:r>
      <w:r>
        <w:rPr>
          <w:rFonts w:hint="eastAsia" w:ascii="仿宋_GB2312" w:hAnsi="仿宋_GB2312" w:eastAsia="仿宋_GB2312" w:cs="仿宋_GB2312"/>
          <w:b w:val="0"/>
          <w:bCs w:val="0"/>
          <w:color w:val="auto"/>
          <w:sz w:val="32"/>
          <w:szCs w:val="32"/>
          <w:lang w:val="en-US" w:eastAsia="zh-CN"/>
        </w:rPr>
        <w:t>1-9月，全县财政</w:t>
      </w:r>
      <w:r>
        <w:rPr>
          <w:rFonts w:hint="eastAsia" w:ascii="仿宋_GB2312" w:hAnsi="仿宋_GB2312" w:eastAsia="仿宋_GB2312" w:cs="仿宋_GB2312"/>
          <w:color w:val="auto"/>
          <w:sz w:val="32"/>
          <w:szCs w:val="32"/>
          <w:lang w:val="en-US" w:eastAsia="zh-CN"/>
        </w:rPr>
        <w:t>一般公共预算收入10.41亿元，同比增长30.13%，一般公共预算支出22.36亿元，同比下降13.95%。根据人民银行存贷报表数据显示，全县金融机构各项存款额37.69亿元，同比增长11.21%，各项贷款余额26.82亿元，同比增长22.91%。</w:t>
      </w:r>
    </w:p>
    <w:p w14:paraId="4100D0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二、四季度经济形势展望</w:t>
      </w:r>
    </w:p>
    <w:p w14:paraId="2E98944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sz w:val="32"/>
          <w:szCs w:val="32"/>
          <w:lang w:val="en-US" w:eastAsia="zh-CN"/>
        </w:rPr>
        <w:t>（一）第一产业稳中有忧。</w:t>
      </w:r>
      <w:r>
        <w:rPr>
          <w:rFonts w:hint="eastAsia" w:ascii="仿宋_GB2312" w:hAnsi="仿宋_GB2312" w:eastAsia="仿宋_GB2312" w:cs="仿宋_GB2312"/>
          <w:b w:val="0"/>
          <w:bCs w:val="0"/>
          <w:color w:val="auto"/>
          <w:sz w:val="32"/>
          <w:szCs w:val="32"/>
          <w:lang w:val="en-US" w:eastAsia="zh-CN"/>
        </w:rPr>
        <w:t>1-9月，牛、羊、活家禽等主要畜禽出栏增幅较好，分别增长了14.02%、23.15%、63.34%，受此影响，农林牧渔业总产值同比增长5.6%，实现了稳步增长，虽然增加值数据衔接后略有下降，但仍然保持了5.5%的增长速度，增长的基础进一步夯实，但从存栏来看，猪、牛、羊这些主要牲畜存栏分别下降了56%、17%、22%，对后期牲畜出栏量支撑不足，畜牧业产值增长存在下行风险。</w:t>
      </w:r>
    </w:p>
    <w:p w14:paraId="6A0E5BD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sz w:val="32"/>
          <w:szCs w:val="32"/>
          <w:lang w:val="en-US" w:eastAsia="zh-CN"/>
        </w:rPr>
        <w:t>（二）第二产业压力较大。</w:t>
      </w:r>
      <w:r>
        <w:rPr>
          <w:rFonts w:hint="eastAsia" w:ascii="仿宋_GB2312" w:hAnsi="仿宋_GB2312" w:eastAsia="仿宋_GB2312" w:cs="仿宋_GB2312"/>
          <w:b w:val="0"/>
          <w:bCs w:val="0"/>
          <w:color w:val="auto"/>
          <w:sz w:val="32"/>
          <w:szCs w:val="32"/>
          <w:lang w:val="en-US" w:eastAsia="zh-CN"/>
        </w:rPr>
        <w:t>规上工业支撑力不足，二季度规上工业增加值同比下降8.1%，与二季度的下降9%相比，回升了1个百分点。重工业以煤炭、电力为主，增加值占比86.5%，累计增加值11.32亿元，同比下降13.47%。其中原煤累计产量虽因沙吉海煤业前期超产同比增长12.0%，但9月事故后无新增产量；发电量因国网能源和丰煤电单机组运行同比下降18.83%，“量价双降”加剧重工业运行压力。原盐主要由宏达盐业生产，今年累计产量同比增长11.2%，产品销售价格较上年有所下调，产值因扣减运费导致大幅下降。轻工业增加值占规上工业比重13.5%，累计增加值1.57亿元，同比下降30.67%，主要受传统轻工业小规模企业生产波动影响，行业整体规模较小，对工业经济全局影响有限。</w:t>
      </w:r>
    </w:p>
    <w:p w14:paraId="12DE0B8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sz w:val="32"/>
          <w:szCs w:val="32"/>
          <w:lang w:val="en-US" w:eastAsia="zh-CN"/>
        </w:rPr>
        <w:t>（三）第三产业低位运行。</w:t>
      </w:r>
      <w:r>
        <w:rPr>
          <w:rFonts w:hint="eastAsia" w:ascii="仿宋_GB2312" w:hAnsi="仿宋_GB2312" w:eastAsia="仿宋_GB2312" w:cs="仿宋_GB2312"/>
          <w:b w:val="0"/>
          <w:bCs w:val="0"/>
          <w:color w:val="auto"/>
          <w:sz w:val="32"/>
          <w:szCs w:val="32"/>
          <w:lang w:val="en-US" w:eastAsia="zh-CN"/>
        </w:rPr>
        <w:t>从目前第三产业各行业占比来看，三产中的批发零售、交通运输仓储和邮政、金融、房地产等行业占经济总量的比重分别为0.9%、2.5%、1.8%、6.1%，第三季度分别增长了15.5%、4.9%、1.5%、3%，分别拉动经济增长0.16、0.12、0.03、0.22个百分点，存在比重低，增速小，拉动弱的态势，三产中其他服务业占经济总量的比重虽然达到19.99%，但核算的基础指标表现不佳，其中：营利性服务业中的信息传输服务、租赁和商务服务、科学研究和技术服务、居民服务、文化体育娱乐等行业没有规上企业，无法取得增速，营利性服务业仅靠科学研究和技术服务业、文化体育娱乐业机关事业单位劳动工资增速无法支撑行业发展。非营利性服务业主要参考教育、卫生和社会工作、公共管理和社会组织、水利环境和公共设施管理行业的劳动工资增速核算，虽然今年补发了历年绩效工资，取得了一定的增速，由于核算方法的调整，需将绩效增加部分平摊到四个季度计算，导致这四个行业劳动工资增速仅为7%左右，难以拉动行业增长。</w:t>
      </w:r>
    </w:p>
    <w:p w14:paraId="21E8D3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三、下一步工作建议</w:t>
      </w:r>
    </w:p>
    <w:p w14:paraId="194EE74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（一）农牧业方面。</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畜</w:t>
      </w:r>
      <w:r>
        <w:rPr>
          <w:rFonts w:hint="eastAsia" w:ascii="仿宋_GB2312" w:hAnsi="仿宋_GB2312" w:eastAsia="仿宋_GB2312" w:cs="仿宋_GB2312"/>
          <w:b w:val="0"/>
          <w:bCs w:val="0"/>
          <w:color w:val="auto"/>
          <w:sz w:val="32"/>
          <w:szCs w:val="32"/>
          <w:lang w:val="en-US" w:eastAsia="zh-CN"/>
        </w:rPr>
        <w:t>牧业从存栏来看，猪、牛、羊这些主要牲畜存栏分别下降了56%、17%、22%，对后期牲畜出栏量支撑不足，畜牧业产值增长存在下行风险，</w:t>
      </w:r>
      <w:r>
        <w:rPr>
          <w:rFonts w:hint="eastAsia" w:ascii="Times New Roman" w:hAnsi="Times New Roman" w:eastAsia="仿宋_GB2312" w:cs="Times New Roman"/>
          <w:b w:val="0"/>
          <w:bCs w:val="0"/>
          <w:color w:val="auto"/>
          <w:sz w:val="32"/>
          <w:szCs w:val="32"/>
          <w:highlight w:val="none"/>
          <w:lang w:val="en-US" w:eastAsia="zh-CN"/>
        </w:rPr>
        <w:t>各乡镇</w:t>
      </w:r>
      <w:r>
        <w:rPr>
          <w:rFonts w:hint="default" w:ascii="Times New Roman" w:hAnsi="Times New Roman" w:eastAsia="仿宋_GB2312" w:cs="Times New Roman"/>
          <w:b w:val="0"/>
          <w:bCs w:val="0"/>
          <w:color w:val="auto"/>
          <w:sz w:val="32"/>
          <w:szCs w:val="32"/>
          <w:highlight w:val="none"/>
          <w:lang w:val="en-US" w:eastAsia="zh-CN"/>
        </w:rPr>
        <w:t>要认真摸排辖区内猪、牛、羊、家禽等主要牲畜存、出栏情况，高度关注</w:t>
      </w:r>
      <w:r>
        <w:rPr>
          <w:rFonts w:hint="eastAsia" w:ascii="Times New Roman" w:hAnsi="Times New Roman" w:eastAsia="仿宋_GB2312" w:cs="Times New Roman"/>
          <w:b w:val="0"/>
          <w:bCs w:val="0"/>
          <w:color w:val="auto"/>
          <w:sz w:val="32"/>
          <w:szCs w:val="32"/>
          <w:highlight w:val="none"/>
          <w:lang w:val="en-US" w:eastAsia="zh-CN"/>
        </w:rPr>
        <w:t>种植大户经营情况、</w:t>
      </w:r>
      <w:r>
        <w:rPr>
          <w:rFonts w:hint="default" w:ascii="Times New Roman" w:hAnsi="Times New Roman" w:eastAsia="仿宋_GB2312" w:cs="Times New Roman"/>
          <w:b w:val="0"/>
          <w:bCs w:val="0"/>
          <w:color w:val="auto"/>
          <w:sz w:val="32"/>
          <w:szCs w:val="32"/>
          <w:highlight w:val="none"/>
          <w:lang w:val="en-US" w:eastAsia="zh-CN"/>
        </w:rPr>
        <w:t>养殖大户和监测户</w:t>
      </w:r>
      <w:r>
        <w:rPr>
          <w:rFonts w:hint="eastAsia" w:ascii="Times New Roman" w:hAnsi="Times New Roman" w:eastAsia="仿宋_GB2312" w:cs="Times New Roman"/>
          <w:b w:val="0"/>
          <w:bCs w:val="0"/>
          <w:color w:val="auto"/>
          <w:sz w:val="32"/>
          <w:szCs w:val="32"/>
          <w:highlight w:val="none"/>
          <w:lang w:val="en-US" w:eastAsia="zh-CN"/>
        </w:rPr>
        <w:t>存出栏</w:t>
      </w:r>
      <w:r>
        <w:rPr>
          <w:rFonts w:hint="default" w:ascii="Times New Roman" w:hAnsi="Times New Roman" w:eastAsia="仿宋_GB2312" w:cs="Times New Roman"/>
          <w:b w:val="0"/>
          <w:bCs w:val="0"/>
          <w:color w:val="auto"/>
          <w:sz w:val="32"/>
          <w:szCs w:val="32"/>
          <w:highlight w:val="none"/>
          <w:lang w:val="en-US" w:eastAsia="zh-CN"/>
        </w:rPr>
        <w:t>数据变化，</w:t>
      </w:r>
      <w:r>
        <w:rPr>
          <w:rFonts w:hint="eastAsia" w:ascii="Times New Roman" w:hAnsi="Times New Roman" w:eastAsia="仿宋_GB2312" w:cs="Times New Roman"/>
          <w:b w:val="0"/>
          <w:bCs w:val="0"/>
          <w:color w:val="auto"/>
          <w:sz w:val="32"/>
          <w:szCs w:val="32"/>
          <w:highlight w:val="none"/>
          <w:lang w:val="en-US" w:eastAsia="zh-CN"/>
        </w:rPr>
        <w:t>深入落实</w:t>
      </w:r>
      <w:r>
        <w:rPr>
          <w:rFonts w:hint="default" w:ascii="Times New Roman" w:hAnsi="Times New Roman" w:eastAsia="仿宋_GB2312" w:cs="Times New Roman"/>
          <w:b w:val="0"/>
          <w:bCs w:val="0"/>
          <w:color w:val="auto"/>
          <w:sz w:val="32"/>
          <w:szCs w:val="32"/>
          <w:highlight w:val="none"/>
          <w:lang w:val="en-US" w:eastAsia="zh-CN"/>
        </w:rPr>
        <w:t>年初制定的千头牛养殖户目标</w:t>
      </w:r>
      <w:r>
        <w:rPr>
          <w:rFonts w:hint="eastAsia" w:ascii="Times New Roman" w:hAnsi="Times New Roman" w:eastAsia="仿宋_GB2312" w:cs="Times New Roman"/>
          <w:b w:val="0"/>
          <w:bCs w:val="0"/>
          <w:color w:val="auto"/>
          <w:sz w:val="32"/>
          <w:szCs w:val="32"/>
          <w:highlight w:val="none"/>
          <w:lang w:val="en-US" w:eastAsia="zh-CN"/>
        </w:rPr>
        <w:t>，持续提升地区</w:t>
      </w:r>
      <w:r>
        <w:rPr>
          <w:rFonts w:hint="default" w:ascii="Times New Roman" w:hAnsi="Times New Roman" w:eastAsia="仿宋_GB2312" w:cs="Times New Roman"/>
          <w:b w:val="0"/>
          <w:bCs w:val="0"/>
          <w:color w:val="auto"/>
          <w:sz w:val="32"/>
          <w:szCs w:val="32"/>
          <w:highlight w:val="none"/>
          <w:lang w:val="en-US" w:eastAsia="zh-CN"/>
        </w:rPr>
        <w:t>规模化养殖水平。</w:t>
      </w:r>
      <w:r>
        <w:rPr>
          <w:rFonts w:hint="eastAsia" w:ascii="Times New Roman" w:hAnsi="Times New Roman" w:eastAsia="仿宋_GB2312" w:cs="Times New Roman"/>
          <w:b/>
          <w:bCs/>
          <w:color w:val="auto"/>
          <w:sz w:val="32"/>
          <w:szCs w:val="32"/>
          <w:highlight w:val="none"/>
          <w:lang w:val="en-US" w:eastAsia="zh-CN"/>
        </w:rPr>
        <w:t>二是</w:t>
      </w:r>
      <w:r>
        <w:rPr>
          <w:rFonts w:hint="eastAsia" w:ascii="Times New Roman" w:hAnsi="Times New Roman" w:eastAsia="仿宋_GB2312" w:cs="Times New Roman"/>
          <w:b w:val="0"/>
          <w:bCs w:val="0"/>
          <w:color w:val="auto"/>
          <w:sz w:val="32"/>
          <w:szCs w:val="32"/>
          <w:highlight w:val="none"/>
          <w:lang w:val="en-US" w:eastAsia="zh-CN"/>
        </w:rPr>
        <w:t>抓住“秋收、秋管、秋种”关键期，持续巩固农业稳增长成果。</w:t>
      </w:r>
      <w:r>
        <w:rPr>
          <w:rFonts w:hint="default" w:ascii="Times New Roman" w:hAnsi="Times New Roman" w:eastAsia="仿宋_GB2312" w:cs="Times New Roman"/>
          <w:b w:val="0"/>
          <w:bCs w:val="0"/>
          <w:color w:val="auto"/>
          <w:sz w:val="32"/>
          <w:szCs w:val="32"/>
          <w:highlight w:val="none"/>
          <w:lang w:val="en-US" w:eastAsia="zh-CN"/>
        </w:rPr>
        <w:t>棉花</w:t>
      </w:r>
      <w:r>
        <w:rPr>
          <w:rFonts w:hint="eastAsia" w:ascii="Times New Roman" w:hAnsi="Times New Roman" w:eastAsia="仿宋_GB2312" w:cs="Times New Roman"/>
          <w:b w:val="0"/>
          <w:bCs w:val="0"/>
          <w:color w:val="auto"/>
          <w:sz w:val="32"/>
          <w:szCs w:val="32"/>
          <w:highlight w:val="none"/>
          <w:lang w:val="en-US" w:eastAsia="zh-CN"/>
        </w:rPr>
        <w:t>产量将在第四季度核算，要持续</w:t>
      </w:r>
      <w:r>
        <w:rPr>
          <w:rFonts w:hint="default" w:ascii="Times New Roman" w:hAnsi="Times New Roman" w:eastAsia="仿宋_GB2312" w:cs="Times New Roman"/>
          <w:b w:val="0"/>
          <w:bCs w:val="0"/>
          <w:color w:val="auto"/>
          <w:sz w:val="32"/>
          <w:szCs w:val="32"/>
          <w:highlight w:val="none"/>
          <w:lang w:val="en-US" w:eastAsia="zh-CN"/>
        </w:rPr>
        <w:t>加大</w:t>
      </w:r>
      <w:r>
        <w:rPr>
          <w:rFonts w:hint="eastAsia" w:ascii="Times New Roman" w:hAnsi="Times New Roman" w:eastAsia="仿宋_GB2312" w:cs="Times New Roman"/>
          <w:b w:val="0"/>
          <w:bCs w:val="0"/>
          <w:color w:val="auto"/>
          <w:sz w:val="32"/>
          <w:szCs w:val="32"/>
          <w:highlight w:val="none"/>
          <w:lang w:val="en-US" w:eastAsia="zh-CN"/>
        </w:rPr>
        <w:t>对</w:t>
      </w:r>
      <w:r>
        <w:rPr>
          <w:rFonts w:hint="default" w:ascii="Times New Roman" w:hAnsi="Times New Roman" w:eastAsia="仿宋_GB2312" w:cs="Times New Roman"/>
          <w:b w:val="0"/>
          <w:bCs w:val="0"/>
          <w:color w:val="auto"/>
          <w:sz w:val="32"/>
          <w:szCs w:val="32"/>
          <w:highlight w:val="none"/>
          <w:lang w:val="en-US" w:eastAsia="zh-CN"/>
        </w:rPr>
        <w:t>棉花种植作物</w:t>
      </w:r>
      <w:r>
        <w:rPr>
          <w:rFonts w:hint="eastAsia" w:ascii="Times New Roman" w:hAnsi="Times New Roman" w:eastAsia="仿宋_GB2312" w:cs="Times New Roman"/>
          <w:b w:val="0"/>
          <w:bCs w:val="0"/>
          <w:color w:val="auto"/>
          <w:sz w:val="32"/>
          <w:szCs w:val="32"/>
          <w:highlight w:val="none"/>
          <w:lang w:val="en-US" w:eastAsia="zh-CN"/>
        </w:rPr>
        <w:t>收购</w:t>
      </w:r>
      <w:r>
        <w:rPr>
          <w:rFonts w:hint="default" w:ascii="Times New Roman" w:hAnsi="Times New Roman" w:eastAsia="仿宋_GB2312" w:cs="Times New Roman"/>
          <w:b w:val="0"/>
          <w:bCs w:val="0"/>
          <w:color w:val="auto"/>
          <w:sz w:val="32"/>
          <w:szCs w:val="32"/>
          <w:highlight w:val="none"/>
          <w:lang w:val="en-US" w:eastAsia="zh-CN"/>
        </w:rPr>
        <w:t>价格</w:t>
      </w:r>
      <w:r>
        <w:rPr>
          <w:rFonts w:hint="eastAsia" w:ascii="Times New Roman" w:hAnsi="Times New Roman" w:eastAsia="仿宋_GB2312" w:cs="Times New Roman"/>
          <w:b w:val="0"/>
          <w:bCs w:val="0"/>
          <w:color w:val="auto"/>
          <w:sz w:val="32"/>
          <w:szCs w:val="32"/>
          <w:highlight w:val="none"/>
          <w:lang w:val="en-US" w:eastAsia="zh-CN"/>
        </w:rPr>
        <w:t>的</w:t>
      </w:r>
      <w:r>
        <w:rPr>
          <w:rFonts w:hint="default" w:ascii="Times New Roman" w:hAnsi="Times New Roman" w:eastAsia="仿宋_GB2312" w:cs="Times New Roman"/>
          <w:b w:val="0"/>
          <w:bCs w:val="0"/>
          <w:color w:val="auto"/>
          <w:sz w:val="32"/>
          <w:szCs w:val="32"/>
          <w:highlight w:val="none"/>
          <w:lang w:val="en-US" w:eastAsia="zh-CN"/>
        </w:rPr>
        <w:t>监测预警，</w:t>
      </w:r>
      <w:r>
        <w:rPr>
          <w:rFonts w:hint="eastAsia" w:ascii="Times New Roman" w:hAnsi="Times New Roman" w:eastAsia="仿宋_GB2312" w:cs="Times New Roman"/>
          <w:b w:val="0"/>
          <w:bCs w:val="0"/>
          <w:color w:val="auto"/>
          <w:sz w:val="32"/>
          <w:szCs w:val="32"/>
          <w:highlight w:val="none"/>
          <w:lang w:val="en-US" w:eastAsia="zh-CN"/>
        </w:rPr>
        <w:t>确保</w:t>
      </w:r>
      <w:r>
        <w:rPr>
          <w:rFonts w:hint="default" w:ascii="Times New Roman" w:hAnsi="Times New Roman" w:eastAsia="仿宋_GB2312" w:cs="Times New Roman"/>
          <w:b w:val="0"/>
          <w:bCs w:val="0"/>
          <w:color w:val="auto"/>
          <w:sz w:val="32"/>
          <w:szCs w:val="32"/>
          <w:lang w:val="en-US" w:eastAsia="zh-CN"/>
        </w:rPr>
        <w:t>稳产增收，</w:t>
      </w:r>
      <w:r>
        <w:rPr>
          <w:rFonts w:hint="eastAsia" w:ascii="Times New Roman" w:hAnsi="Times New Roman" w:eastAsia="仿宋_GB2312" w:cs="Times New Roman"/>
          <w:b w:val="0"/>
          <w:bCs w:val="0"/>
          <w:color w:val="auto"/>
          <w:sz w:val="32"/>
          <w:szCs w:val="32"/>
          <w:lang w:val="en-US" w:eastAsia="zh-CN"/>
        </w:rPr>
        <w:t>同时要高度</w:t>
      </w:r>
      <w:r>
        <w:rPr>
          <w:rFonts w:hint="default" w:ascii="Times New Roman" w:hAnsi="Times New Roman" w:eastAsia="仿宋_GB2312" w:cs="Times New Roman"/>
          <w:b w:val="0"/>
          <w:bCs w:val="0"/>
          <w:color w:val="auto"/>
          <w:sz w:val="32"/>
          <w:szCs w:val="32"/>
          <w:lang w:val="en-US" w:eastAsia="zh-CN"/>
        </w:rPr>
        <w:t>关注四季度设施农业</w:t>
      </w:r>
      <w:r>
        <w:rPr>
          <w:rFonts w:hint="eastAsia" w:ascii="Times New Roman" w:hAnsi="Times New Roman" w:eastAsia="仿宋_GB2312" w:cs="Times New Roman"/>
          <w:b w:val="0"/>
          <w:bCs w:val="0"/>
          <w:color w:val="auto"/>
          <w:sz w:val="32"/>
          <w:szCs w:val="32"/>
          <w:lang w:val="en-US" w:eastAsia="zh-CN"/>
        </w:rPr>
        <w:t>、牲畜冬宰等生产</w:t>
      </w:r>
      <w:r>
        <w:rPr>
          <w:rFonts w:hint="default" w:ascii="Times New Roman" w:hAnsi="Times New Roman" w:eastAsia="仿宋_GB2312" w:cs="Times New Roman"/>
          <w:b w:val="0"/>
          <w:bCs w:val="0"/>
          <w:color w:val="auto"/>
          <w:sz w:val="32"/>
          <w:szCs w:val="32"/>
          <w:lang w:val="en-US" w:eastAsia="zh-CN"/>
        </w:rPr>
        <w:t>经营</w:t>
      </w:r>
      <w:r>
        <w:rPr>
          <w:rFonts w:hint="eastAsia" w:ascii="Times New Roman" w:hAnsi="Times New Roman" w:eastAsia="仿宋_GB2312" w:cs="Times New Roman"/>
          <w:b w:val="0"/>
          <w:bCs w:val="0"/>
          <w:color w:val="auto"/>
          <w:sz w:val="32"/>
          <w:szCs w:val="32"/>
          <w:lang w:val="en-US" w:eastAsia="zh-CN"/>
        </w:rPr>
        <w:t>情况</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确保村级起报数据</w:t>
      </w:r>
      <w:r>
        <w:rPr>
          <w:rFonts w:hint="default" w:ascii="Times New Roman" w:hAnsi="Times New Roman" w:eastAsia="仿宋_GB2312" w:cs="Times New Roman"/>
          <w:b w:val="0"/>
          <w:bCs/>
          <w:color w:val="auto"/>
          <w:sz w:val="32"/>
          <w:szCs w:val="32"/>
          <w:lang w:val="en-US" w:eastAsia="zh-CN"/>
        </w:rPr>
        <w:t>应统尽统、颗粒归仓</w:t>
      </w:r>
      <w:r>
        <w:rPr>
          <w:rFonts w:hint="default" w:ascii="Times New Roman" w:hAnsi="Times New Roman" w:eastAsia="仿宋_GB2312" w:cs="Times New Roman"/>
          <w:color w:val="auto"/>
          <w:sz w:val="32"/>
          <w:szCs w:val="32"/>
          <w:lang w:val="en-US" w:eastAsia="zh-CN"/>
        </w:rPr>
        <w:t>。</w:t>
      </w:r>
    </w:p>
    <w:p w14:paraId="13149EC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（二）工业生产方面。</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工业是全县经济增长的核心，</w:t>
      </w:r>
      <w:r>
        <w:rPr>
          <w:rFonts w:hint="eastAsia" w:ascii="Times New Roman" w:hAnsi="Times New Roman" w:eastAsia="仿宋_GB2312" w:cs="Times New Roman"/>
          <w:b w:val="0"/>
          <w:bCs w:val="0"/>
          <w:color w:val="auto"/>
          <w:sz w:val="32"/>
          <w:szCs w:val="32"/>
          <w:lang w:val="en-US" w:eastAsia="zh-CN"/>
        </w:rPr>
        <w:t>要想方设法助力国网和丰煤电的煤炭开采、电力生产业务扩大市场、积极参与电力市场化交易，扭转下降趋势。</w:t>
      </w:r>
      <w:r>
        <w:rPr>
          <w:rFonts w:hint="eastAsia" w:ascii="Times New Roman" w:hAnsi="Times New Roman" w:eastAsia="仿宋_GB2312" w:cs="Times New Roman"/>
          <w:b/>
          <w:bCs/>
          <w:color w:val="auto"/>
          <w:sz w:val="32"/>
          <w:szCs w:val="32"/>
          <w:lang w:val="en-US" w:eastAsia="zh-CN"/>
        </w:rPr>
        <w:t>二是</w:t>
      </w:r>
      <w:r>
        <w:rPr>
          <w:rFonts w:hint="eastAsia" w:ascii="Times New Roman" w:hAnsi="Times New Roman" w:eastAsia="仿宋_GB2312" w:cs="Times New Roman"/>
          <w:b w:val="0"/>
          <w:bCs w:val="0"/>
          <w:color w:val="auto"/>
          <w:sz w:val="32"/>
          <w:szCs w:val="32"/>
          <w:lang w:val="en-US" w:eastAsia="zh-CN"/>
        </w:rPr>
        <w:t>紧盯</w:t>
      </w:r>
      <w:r>
        <w:rPr>
          <w:rFonts w:hint="default" w:ascii="Times New Roman" w:hAnsi="Times New Roman" w:eastAsia="仿宋_GB2312" w:cs="Times New Roman"/>
          <w:b w:val="0"/>
          <w:bCs w:val="0"/>
          <w:color w:val="auto"/>
          <w:sz w:val="32"/>
          <w:szCs w:val="32"/>
          <w:lang w:val="en-US" w:eastAsia="zh-CN"/>
        </w:rPr>
        <w:t>沙吉海煤业安全生产整改复产等重点存量企业服务事项</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抓住供暖期</w:t>
      </w:r>
      <w:r>
        <w:rPr>
          <w:rFonts w:hint="eastAsia" w:ascii="Times New Roman" w:hAnsi="Times New Roman" w:eastAsia="仿宋_GB2312" w:cs="Times New Roman"/>
          <w:b w:val="0"/>
          <w:bCs w:val="0"/>
          <w:color w:val="auto"/>
          <w:sz w:val="32"/>
          <w:szCs w:val="32"/>
          <w:lang w:val="en-US" w:eastAsia="zh-CN"/>
        </w:rPr>
        <w:t>的</w:t>
      </w:r>
      <w:r>
        <w:rPr>
          <w:rFonts w:hint="default" w:ascii="Times New Roman" w:hAnsi="Times New Roman" w:eastAsia="仿宋_GB2312" w:cs="Times New Roman"/>
          <w:b w:val="0"/>
          <w:bCs w:val="0"/>
          <w:color w:val="auto"/>
          <w:sz w:val="32"/>
          <w:szCs w:val="32"/>
          <w:lang w:val="en-US" w:eastAsia="zh-CN"/>
        </w:rPr>
        <w:t>煤炭销售，加大煤炭行业去库存力度，充分释放煤炭企业产能，</w:t>
      </w:r>
      <w:r>
        <w:rPr>
          <w:rFonts w:hint="eastAsia" w:ascii="仿宋_GB2312" w:hAnsi="仿宋_GB2312" w:eastAsia="仿宋_GB2312" w:cs="仿宋_GB2312"/>
          <w:b w:val="0"/>
          <w:bCs w:val="0"/>
          <w:color w:val="auto"/>
          <w:sz w:val="32"/>
          <w:szCs w:val="32"/>
          <w:lang w:val="en-US" w:eastAsia="zh-CN"/>
        </w:rPr>
        <w:t>建议行业主管部门</w:t>
      </w:r>
      <w:r>
        <w:rPr>
          <w:rFonts w:hint="default" w:ascii="Times New Roman" w:hAnsi="Times New Roman" w:eastAsia="仿宋_GB2312" w:cs="Times New Roman"/>
          <w:b w:val="0"/>
          <w:bCs w:val="0"/>
          <w:sz w:val="32"/>
          <w:szCs w:val="32"/>
          <w:lang w:val="zh-CN" w:eastAsia="zh-CN"/>
        </w:rPr>
        <w:t>结合地区</w:t>
      </w:r>
      <w:r>
        <w:rPr>
          <w:rFonts w:hint="eastAsia" w:ascii="Times New Roman" w:hAnsi="Times New Roman" w:eastAsia="仿宋_GB2312" w:cs="Times New Roman"/>
          <w:b w:val="0"/>
          <w:bCs w:val="0"/>
          <w:sz w:val="32"/>
          <w:szCs w:val="32"/>
          <w:lang w:val="zh-CN" w:eastAsia="zh-CN"/>
        </w:rPr>
        <w:t>“</w:t>
      </w:r>
      <w:r>
        <w:rPr>
          <w:rFonts w:hint="default" w:ascii="Times New Roman" w:hAnsi="Times New Roman" w:eastAsia="仿宋_GB2312" w:cs="Times New Roman"/>
          <w:b w:val="0"/>
          <w:bCs w:val="0"/>
          <w:sz w:val="32"/>
          <w:szCs w:val="32"/>
          <w:lang w:val="zh-CN" w:eastAsia="zh-CN"/>
        </w:rPr>
        <w:t>服务包</w:t>
      </w:r>
      <w:r>
        <w:rPr>
          <w:rFonts w:hint="eastAsia" w:ascii="Times New Roman" w:hAnsi="Times New Roman" w:eastAsia="仿宋_GB2312" w:cs="Times New Roman"/>
          <w:b w:val="0"/>
          <w:bCs w:val="0"/>
          <w:sz w:val="32"/>
          <w:szCs w:val="32"/>
          <w:lang w:val="zh-CN" w:eastAsia="zh-CN"/>
        </w:rPr>
        <w:t>”</w:t>
      </w:r>
      <w:r>
        <w:rPr>
          <w:rFonts w:hint="default" w:ascii="Times New Roman" w:hAnsi="Times New Roman" w:eastAsia="仿宋_GB2312" w:cs="Times New Roman"/>
          <w:b w:val="0"/>
          <w:bCs w:val="0"/>
          <w:sz w:val="32"/>
          <w:szCs w:val="32"/>
          <w:lang w:val="zh-CN" w:eastAsia="zh-CN"/>
        </w:rPr>
        <w:t>机制，会同相关部门，进行</w:t>
      </w:r>
      <w:r>
        <w:rPr>
          <w:rFonts w:hint="eastAsia" w:ascii="Times New Roman" w:hAnsi="Times New Roman" w:eastAsia="仿宋_GB2312" w:cs="Times New Roman"/>
          <w:b w:val="0"/>
          <w:bCs w:val="0"/>
          <w:sz w:val="32"/>
          <w:szCs w:val="32"/>
          <w:lang w:val="zh-CN" w:eastAsia="zh-CN"/>
        </w:rPr>
        <w:t>”</w:t>
      </w:r>
      <w:r>
        <w:rPr>
          <w:rFonts w:hint="default" w:ascii="Times New Roman" w:hAnsi="Times New Roman" w:eastAsia="仿宋_GB2312" w:cs="Times New Roman"/>
          <w:b w:val="0"/>
          <w:bCs w:val="0"/>
          <w:sz w:val="32"/>
          <w:szCs w:val="32"/>
          <w:lang w:val="zh-CN" w:eastAsia="zh-CN"/>
        </w:rPr>
        <w:t>一企一策</w:t>
      </w:r>
      <w:r>
        <w:rPr>
          <w:rFonts w:hint="eastAsia" w:ascii="Times New Roman" w:hAnsi="Times New Roman" w:eastAsia="仿宋_GB2312" w:cs="Times New Roman"/>
          <w:b w:val="0"/>
          <w:bCs w:val="0"/>
          <w:sz w:val="32"/>
          <w:szCs w:val="32"/>
          <w:lang w:val="zh-CN" w:eastAsia="zh-CN"/>
        </w:rPr>
        <w:t>“</w:t>
      </w:r>
      <w:r>
        <w:rPr>
          <w:rFonts w:hint="default" w:ascii="Times New Roman" w:hAnsi="Times New Roman" w:eastAsia="仿宋_GB2312" w:cs="Times New Roman"/>
          <w:b w:val="0"/>
          <w:bCs w:val="0"/>
          <w:sz w:val="32"/>
          <w:szCs w:val="32"/>
          <w:lang w:val="zh-CN" w:eastAsia="zh-CN"/>
        </w:rPr>
        <w:t>精准指导，</w:t>
      </w:r>
      <w:r>
        <w:rPr>
          <w:rFonts w:hint="eastAsia" w:ascii="仿宋_GB2312" w:hAnsi="仿宋_GB2312" w:eastAsia="仿宋_GB2312" w:cs="仿宋_GB2312"/>
          <w:b w:val="0"/>
          <w:bCs w:val="0"/>
          <w:color w:val="auto"/>
          <w:sz w:val="32"/>
          <w:szCs w:val="32"/>
          <w:lang w:val="en-US" w:eastAsia="zh-CN"/>
        </w:rPr>
        <w:t>紧盯三家煤炭企业的生产和销售，</w:t>
      </w:r>
      <w:r>
        <w:rPr>
          <w:rFonts w:hint="default" w:ascii="Times New Roman" w:hAnsi="Times New Roman" w:eastAsia="仿宋_GB2312" w:cs="Times New Roman"/>
          <w:b w:val="0"/>
          <w:bCs w:val="0"/>
          <w:color w:val="auto"/>
          <w:sz w:val="32"/>
          <w:szCs w:val="32"/>
          <w:lang w:val="en-US" w:eastAsia="zh-CN"/>
        </w:rPr>
        <w:t>确保采矿业稳定增长</w:t>
      </w:r>
      <w:r>
        <w:rPr>
          <w:rFonts w:hint="eastAsia" w:ascii="Times New Roman" w:hAnsi="Times New Roman" w:eastAsia="仿宋_GB2312" w:cs="Times New Roman"/>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抓好宏达盐业原盐生产，实现以采矿业为切入点带动整体规上工业增长</w:t>
      </w:r>
      <w:r>
        <w:rPr>
          <w:rFonts w:hint="eastAsia" w:ascii="仿宋_GB2312" w:hAnsi="仿宋_GB2312" w:eastAsia="仿宋_GB2312" w:cs="仿宋_GB2312"/>
          <w:sz w:val="32"/>
          <w:szCs w:val="32"/>
          <w:lang w:val="en-US" w:eastAsia="zh-CN"/>
        </w:rPr>
        <w:t>，确保四季度现有企业生产经营稳定有序。</w:t>
      </w:r>
    </w:p>
    <w:p w14:paraId="7DC6DC6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sz w:val="32"/>
          <w:szCs w:val="32"/>
          <w:lang w:val="en-US" w:eastAsia="zh-CN"/>
        </w:rPr>
        <w:t>（三）努力实现第三产业稳定增长。</w:t>
      </w:r>
      <w:r>
        <w:rPr>
          <w:rFonts w:hint="eastAsia" w:ascii="Times New Roman" w:hAnsi="Times New Roman" w:eastAsia="仿宋_GB2312" w:cs="Times New Roman"/>
          <w:b/>
          <w:bCs/>
          <w:color w:val="000000"/>
          <w:sz w:val="32"/>
          <w:szCs w:val="32"/>
          <w:lang w:val="zh-CN"/>
        </w:rPr>
        <w:t>一是</w:t>
      </w:r>
      <w:r>
        <w:rPr>
          <w:rFonts w:hint="eastAsia" w:ascii="Times New Roman" w:hAnsi="Times New Roman" w:eastAsia="仿宋_GB2312" w:cs="Times New Roman"/>
          <w:b w:val="0"/>
          <w:bCs w:val="0"/>
          <w:color w:val="auto"/>
          <w:sz w:val="32"/>
          <w:szCs w:val="32"/>
          <w:lang w:val="zh-CN" w:eastAsia="zh-CN"/>
        </w:rPr>
        <w:t>批零住餐业，要加强对销售额、</w:t>
      </w:r>
      <w:r>
        <w:rPr>
          <w:rFonts w:hint="eastAsia" w:ascii="Times New Roman" w:hAnsi="Times New Roman" w:eastAsia="仿宋_GB2312" w:cs="Times New Roman"/>
          <w:color w:val="000000"/>
          <w:sz w:val="32"/>
          <w:szCs w:val="32"/>
          <w:lang w:val="zh-CN"/>
        </w:rPr>
        <w:t>营业额增速异常单位的监测预警，要强化协作，积极开展促消费活动，提振信心，激发市场活力；</w:t>
      </w:r>
      <w:r>
        <w:rPr>
          <w:rFonts w:hint="eastAsia" w:ascii="Times New Roman" w:hAnsi="Times New Roman" w:eastAsia="仿宋_GB2312" w:cs="Times New Roman"/>
          <w:b/>
          <w:bCs/>
          <w:color w:val="000000"/>
          <w:sz w:val="32"/>
          <w:szCs w:val="32"/>
          <w:lang w:val="zh-CN"/>
        </w:rPr>
        <w:t>二是</w:t>
      </w:r>
      <w:r>
        <w:rPr>
          <w:rFonts w:hint="eastAsia" w:ascii="Times New Roman" w:hAnsi="Times New Roman" w:eastAsia="仿宋_GB2312" w:cs="Times New Roman"/>
          <w:color w:val="000000"/>
          <w:sz w:val="32"/>
          <w:szCs w:val="32"/>
          <w:lang w:val="zh-CN"/>
        </w:rPr>
        <w:t>抓住10月20日-11月18日年度第一批入库窗口期，确保前期梳理的和布克赛尔县民信医药有限责任公司、</w:t>
      </w:r>
      <w:r>
        <w:rPr>
          <w:rFonts w:hint="eastAsia" w:ascii="Times New Roman" w:hAnsi="Times New Roman" w:eastAsia="仿宋_GB2312" w:cs="Times New Roman"/>
          <w:color w:val="000000"/>
          <w:sz w:val="32"/>
          <w:szCs w:val="32"/>
          <w:highlight w:val="none"/>
          <w:lang w:val="zh-CN"/>
        </w:rPr>
        <w:t>赛朵酒店、</w:t>
      </w:r>
      <w:r>
        <w:rPr>
          <w:rFonts w:hint="eastAsia" w:ascii="Times New Roman" w:hAnsi="Times New Roman" w:eastAsia="仿宋_GB2312" w:cs="Times New Roman"/>
          <w:color w:val="000000"/>
          <w:sz w:val="32"/>
          <w:szCs w:val="32"/>
          <w:highlight w:val="none"/>
          <w:lang w:val="en-US" w:eastAsia="zh-CN"/>
        </w:rPr>
        <w:t>37</w:t>
      </w:r>
      <w:r>
        <w:rPr>
          <w:rFonts w:hint="default" w:ascii="Times New Roman" w:hAnsi="Times New Roman" w:eastAsia="仿宋_GB2312" w:cs="Times New Roman"/>
          <w:color w:val="000000"/>
          <w:sz w:val="32"/>
          <w:szCs w:val="32"/>
          <w:highlight w:val="none"/>
          <w:lang w:val="en-US" w:eastAsia="zh-CN"/>
        </w:rPr>
        <w:t>º</w:t>
      </w:r>
      <w:r>
        <w:rPr>
          <w:rFonts w:hint="eastAsia" w:ascii="Times New Roman" w:hAnsi="Times New Roman" w:eastAsia="仿宋_GB2312" w:cs="Times New Roman"/>
          <w:color w:val="000000"/>
          <w:sz w:val="32"/>
          <w:szCs w:val="32"/>
          <w:highlight w:val="none"/>
          <w:lang w:val="en-US" w:eastAsia="zh-CN"/>
        </w:rPr>
        <w:t>纸包鱼</w:t>
      </w:r>
      <w:r>
        <w:rPr>
          <w:rFonts w:hint="eastAsia" w:ascii="Times New Roman" w:hAnsi="Times New Roman" w:eastAsia="仿宋_GB2312" w:cs="Times New Roman"/>
          <w:color w:val="000000"/>
          <w:sz w:val="32"/>
          <w:szCs w:val="32"/>
          <w:highlight w:val="none"/>
          <w:lang w:val="zh-CN"/>
        </w:rPr>
        <w:t>等</w:t>
      </w:r>
      <w:r>
        <w:rPr>
          <w:rFonts w:hint="eastAsia" w:ascii="Times New Roman" w:hAnsi="Times New Roman" w:eastAsia="仿宋_GB2312" w:cs="Times New Roman"/>
          <w:color w:val="000000"/>
          <w:sz w:val="32"/>
          <w:szCs w:val="32"/>
          <w:highlight w:val="none"/>
          <w:lang w:val="en-US" w:eastAsia="zh-CN"/>
        </w:rPr>
        <w:t>3</w:t>
      </w:r>
      <w:r>
        <w:rPr>
          <w:rFonts w:hint="eastAsia" w:ascii="Times New Roman" w:hAnsi="Times New Roman" w:eastAsia="仿宋_GB2312" w:cs="Times New Roman"/>
          <w:color w:val="000000"/>
          <w:sz w:val="32"/>
          <w:szCs w:val="32"/>
          <w:lang w:val="zh-CN"/>
        </w:rPr>
        <w:t>家优质企业应入尽入。</w:t>
      </w:r>
      <w:r>
        <w:rPr>
          <w:rFonts w:hint="eastAsia" w:ascii="Times New Roman" w:hAnsi="Times New Roman" w:eastAsia="仿宋_GB2312" w:cs="Times New Roman"/>
          <w:b/>
          <w:bCs/>
          <w:color w:val="000000"/>
          <w:sz w:val="32"/>
          <w:szCs w:val="32"/>
          <w:lang w:val="zh-CN"/>
        </w:rPr>
        <w:t>三是</w:t>
      </w:r>
      <w:r>
        <w:rPr>
          <w:rFonts w:hint="eastAsia" w:ascii="Times New Roman" w:hAnsi="Times New Roman" w:eastAsia="CESI仿宋-GB13000" w:cs="Times New Roman"/>
          <w:sz w:val="32"/>
          <w:szCs w:val="32"/>
          <w:lang w:eastAsia="zh-CN"/>
        </w:rPr>
        <w:t>财政和人社部门要</w:t>
      </w:r>
      <w:r>
        <w:rPr>
          <w:rFonts w:hint="eastAsia" w:ascii="Times New Roman" w:hAnsi="Times New Roman" w:eastAsia="仿宋_GB2312" w:cs="Times New Roman"/>
          <w:color w:val="000000"/>
          <w:sz w:val="32"/>
          <w:szCs w:val="32"/>
          <w:lang w:val="en-US" w:eastAsia="zh-CN"/>
        </w:rPr>
        <w:t>酌情考虑绩效等发放情况，确保应发尽发。</w:t>
      </w:r>
    </w:p>
    <w:p w14:paraId="5A5AF2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p>
    <w:p w14:paraId="0D2C86E3">
      <w:pPr>
        <w:pStyle w:val="5"/>
        <w:jc w:val="left"/>
        <w:rPr>
          <w:rFonts w:hint="eastAsia" w:ascii="仿宋_GB2312" w:hAnsi="仿宋_GB2312" w:eastAsia="仿宋_GB2312" w:cs="仿宋_GB2312"/>
          <w:b w:val="0"/>
          <w:bCs w:val="0"/>
          <w:color w:val="auto"/>
          <w:sz w:val="32"/>
          <w:szCs w:val="32"/>
          <w:lang w:val="en-US" w:eastAsia="zh-CN"/>
        </w:rPr>
      </w:pPr>
    </w:p>
    <w:p w14:paraId="038AAB7F">
      <w:pPr>
        <w:jc w:val="left"/>
        <w:rPr>
          <w:rFonts w:hint="eastAsia"/>
          <w:lang w:val="en-US" w:eastAsia="zh-CN"/>
        </w:rPr>
      </w:pPr>
    </w:p>
    <w:p w14:paraId="2078B8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和布克赛尔县统计局</w:t>
      </w:r>
    </w:p>
    <w:p w14:paraId="298F55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2025年11月5日</w:t>
      </w:r>
    </w:p>
    <w:p w14:paraId="2407BA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p>
    <w:p w14:paraId="479A5FF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sz w:val="32"/>
          <w:szCs w:val="32"/>
          <w:lang w:val="en-US" w:eastAsia="zh-CN"/>
        </w:rPr>
      </w:pPr>
    </w:p>
    <w:p w14:paraId="35434B64">
      <w:pPr>
        <w:keepNext w:val="0"/>
        <w:keepLines w:val="0"/>
        <w:pageBreakBefore w:val="0"/>
        <w:widowControl w:val="0"/>
        <w:kinsoku/>
        <w:wordWrap/>
        <w:overflowPunct/>
        <w:topLinePunct w:val="0"/>
        <w:autoSpaceDE/>
        <w:autoSpaceDN/>
        <w:bidi w:val="0"/>
        <w:adjustRightInd/>
        <w:snapToGrid/>
        <w:spacing w:line="560" w:lineRule="exact"/>
        <w:ind w:left="640" w:hanging="420" w:hangingChars="200"/>
        <w:jc w:val="left"/>
        <w:textAlignment w:val="auto"/>
        <w:rPr>
          <w:rFonts w:hint="eastAsia" w:eastAsia="宋体"/>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SI仿宋-GB13000">
    <w:altName w:val="仿宋"/>
    <w:panose1 w:val="02000500000000000000"/>
    <w:charset w:val="86"/>
    <w:family w:val="auto"/>
    <w:pitch w:val="default"/>
    <w:sig w:usb0="00000000" w:usb1="00000000"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646B6E"/>
    <w:rsid w:val="005A23DD"/>
    <w:rsid w:val="02521B9A"/>
    <w:rsid w:val="02EA7FB2"/>
    <w:rsid w:val="053F2C9C"/>
    <w:rsid w:val="065231BA"/>
    <w:rsid w:val="09267CC5"/>
    <w:rsid w:val="0928289A"/>
    <w:rsid w:val="0B646B6E"/>
    <w:rsid w:val="0DB0144E"/>
    <w:rsid w:val="10CC0C5B"/>
    <w:rsid w:val="12A45CF6"/>
    <w:rsid w:val="18B7709F"/>
    <w:rsid w:val="1AA67767"/>
    <w:rsid w:val="1D660E38"/>
    <w:rsid w:val="1E62166D"/>
    <w:rsid w:val="24A4042D"/>
    <w:rsid w:val="24CA7EFC"/>
    <w:rsid w:val="26F77C5E"/>
    <w:rsid w:val="295C3770"/>
    <w:rsid w:val="2C5848A0"/>
    <w:rsid w:val="2CAA0FE5"/>
    <w:rsid w:val="2E454595"/>
    <w:rsid w:val="2EAA2BCD"/>
    <w:rsid w:val="30037EAD"/>
    <w:rsid w:val="30644E1E"/>
    <w:rsid w:val="329A4127"/>
    <w:rsid w:val="34501948"/>
    <w:rsid w:val="39E62F9E"/>
    <w:rsid w:val="3A1A122C"/>
    <w:rsid w:val="3A5A3671"/>
    <w:rsid w:val="3EE91C93"/>
    <w:rsid w:val="3F644671"/>
    <w:rsid w:val="4C3D2128"/>
    <w:rsid w:val="4E2D6747"/>
    <w:rsid w:val="4F6924C2"/>
    <w:rsid w:val="519620B9"/>
    <w:rsid w:val="53E83F9E"/>
    <w:rsid w:val="54755C40"/>
    <w:rsid w:val="54F26BF2"/>
    <w:rsid w:val="56625D6D"/>
    <w:rsid w:val="5666186C"/>
    <w:rsid w:val="566D4571"/>
    <w:rsid w:val="56B7689D"/>
    <w:rsid w:val="570F7D9A"/>
    <w:rsid w:val="5BD9499F"/>
    <w:rsid w:val="5C392F06"/>
    <w:rsid w:val="5D995A71"/>
    <w:rsid w:val="5E383088"/>
    <w:rsid w:val="5E7F7A5A"/>
    <w:rsid w:val="611C52BA"/>
    <w:rsid w:val="643F6F0D"/>
    <w:rsid w:val="65246E66"/>
    <w:rsid w:val="68AA2300"/>
    <w:rsid w:val="6959147B"/>
    <w:rsid w:val="69D92329"/>
    <w:rsid w:val="6B0C6DDF"/>
    <w:rsid w:val="6BDA5DC7"/>
    <w:rsid w:val="70F44DEE"/>
    <w:rsid w:val="72185C81"/>
    <w:rsid w:val="73FD5539"/>
    <w:rsid w:val="73FE1C64"/>
    <w:rsid w:val="78333930"/>
    <w:rsid w:val="78D855C6"/>
    <w:rsid w:val="79A5514B"/>
    <w:rsid w:val="7D0959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3"/>
    <w:basedOn w:val="1"/>
    <w:next w:val="1"/>
    <w:unhideWhenUsed/>
    <w:qFormat/>
    <w:uiPriority w:val="0"/>
    <w:pPr>
      <w:keepNext/>
      <w:keepLines/>
      <w:ind w:firstLine="200" w:firstLineChars="200"/>
      <w:outlineLvl w:val="2"/>
    </w:pPr>
    <w:rPr>
      <w:rFonts w:hint="eastAsia" w:ascii="仿宋" w:hAnsi="Times New Roman" w:eastAsia="仿宋"/>
      <w:color w:val="FF0000"/>
    </w:rPr>
  </w:style>
  <w:style w:type="paragraph" w:styleId="6">
    <w:name w:val="heading 4"/>
    <w:basedOn w:val="1"/>
    <w:next w:val="1"/>
    <w:qFormat/>
    <w:uiPriority w:val="0"/>
    <w:pPr>
      <w:keepNext/>
      <w:tabs>
        <w:tab w:val="left" w:pos="0"/>
      </w:tabs>
      <w:snapToGrid w:val="0"/>
      <w:spacing w:before="360" w:after="120"/>
      <w:outlineLvl w:val="3"/>
    </w:pPr>
    <w:rPr>
      <w:rFonts w:ascii="宋体" w:hAnsi="宋体"/>
      <w:b/>
      <w:sz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next w:val="4"/>
    <w:unhideWhenUsed/>
    <w:qFormat/>
    <w:uiPriority w:val="0"/>
    <w:pPr>
      <w:ind w:firstLine="420" w:firstLineChars="100"/>
    </w:pPr>
  </w:style>
  <w:style w:type="paragraph" w:styleId="3">
    <w:name w:val="Body Text"/>
    <w:basedOn w:val="1"/>
    <w:next w:val="2"/>
    <w:qFormat/>
    <w:uiPriority w:val="99"/>
    <w:pPr>
      <w:spacing w:after="120"/>
    </w:pPr>
  </w:style>
  <w:style w:type="paragraph" w:styleId="4">
    <w:name w:val="footer"/>
    <w:basedOn w:val="1"/>
    <w:next w:val="1"/>
    <w:qFormat/>
    <w:uiPriority w:val="0"/>
    <w:pPr>
      <w:tabs>
        <w:tab w:val="center" w:pos="4153"/>
        <w:tab w:val="right" w:pos="8306"/>
      </w:tabs>
      <w:snapToGrid w:val="0"/>
      <w:jc w:val="left"/>
    </w:pPr>
    <w:rPr>
      <w:sz w:val="18"/>
    </w:rPr>
  </w:style>
  <w:style w:type="character" w:customStyle="1" w:styleId="9">
    <w:name w:val="font61"/>
    <w:basedOn w:val="8"/>
    <w:qFormat/>
    <w:uiPriority w:val="0"/>
    <w:rPr>
      <w:rFonts w:hint="eastAsia" w:ascii="宋体" w:hAnsi="宋体" w:eastAsia="宋体" w:cs="宋体"/>
      <w:color w:val="000000"/>
      <w:sz w:val="22"/>
      <w:szCs w:val="22"/>
      <w:u w:val="none"/>
    </w:rPr>
  </w:style>
  <w:style w:type="character" w:customStyle="1" w:styleId="10">
    <w:name w:val="font51"/>
    <w:basedOn w:val="8"/>
    <w:qFormat/>
    <w:uiPriority w:val="0"/>
    <w:rPr>
      <w:rFonts w:hint="eastAsia" w:ascii="宋体" w:hAnsi="宋体" w:eastAsia="宋体" w:cs="宋体"/>
      <w:color w:val="auto"/>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4861</Words>
  <Characters>6400</Characters>
  <Lines>0</Lines>
  <Paragraphs>0</Paragraphs>
  <TotalTime>275</TotalTime>
  <ScaleCrop>false</ScaleCrop>
  <LinksUpToDate>false</LinksUpToDate>
  <CharactersWithSpaces>6545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2025-10-29T03:15:00Z</dcterms:created>
  <dc:creator>Administrator</dc:creator>
  <cp:lastModifiedBy>Dave</cp:lastModifiedBy>
  <dcterms:modified xsi:type="dcterms:W3CDTF">2025-12-04T09:01:26Z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F966D4DF56024CD89D92925F3D90CD4C_13</vt:lpwstr>
  </property>
  <property fmtid="{D5CDD505-2E9C-101B-9397-08002B2CF9AE}" pid="4" name="KSOTemplateDocerSaveRecord">
    <vt:lpwstr>eyJoZGlkIjoiZDRiZTk0MDNjOTczODNkNmZlNmQwZjg2YjdjYzNlNjMiLCJ1c2VySWQiOiI1OTIyMDA2OTEifQ==</vt:lpwstr>
  </property>
</Properties>
</file>